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17174" w14:textId="77777777" w:rsidR="00445599" w:rsidRPr="00D76A17" w:rsidRDefault="00445599" w:rsidP="00445599">
      <w:pPr>
        <w:jc w:val="center"/>
        <w:rPr>
          <w:lang w:val="sr-Latn-RS"/>
        </w:rPr>
      </w:pPr>
      <w:r w:rsidRPr="00D76A17">
        <w:rPr>
          <w:lang w:val="sr-Latn-RS"/>
        </w:rPr>
        <w:t>Evropska komisija</w:t>
      </w:r>
    </w:p>
    <w:p w14:paraId="609A2157" w14:textId="77777777" w:rsidR="00445599" w:rsidRPr="00D76A17" w:rsidRDefault="00445599" w:rsidP="00445599">
      <w:pPr>
        <w:pStyle w:val="EuropeanCommissionPR"/>
        <w:spacing w:after="240"/>
        <w:outlineLvl w:val="2"/>
        <w:rPr>
          <w:rFonts w:ascii="Verdana" w:hAnsi="Verdana"/>
          <w:lang w:val="sr-Latn-RS"/>
        </w:rPr>
      </w:pPr>
      <w:r w:rsidRPr="00D76A17">
        <w:rPr>
          <w:rFonts w:ascii="Verdana" w:eastAsia="Malgun Gothic" w:hAnsi="Verdana"/>
          <w:lang w:val="sr-Latn-RS"/>
        </w:rPr>
        <w:t>Saopštenje</w:t>
      </w:r>
    </w:p>
    <w:p w14:paraId="13FDFB46" w14:textId="77777777" w:rsidR="00445599" w:rsidRPr="00D76A17" w:rsidRDefault="00445599" w:rsidP="00445599">
      <w:pPr>
        <w:pStyle w:val="2Date"/>
        <w:spacing w:after="480"/>
        <w:rPr>
          <w:lang w:val="sr-Latn-RS"/>
        </w:rPr>
      </w:pPr>
      <w:r w:rsidRPr="00D76A17">
        <w:rPr>
          <w:lang w:val="sr-Latn-RS"/>
        </w:rPr>
        <w:t>Strazbur, 19. oktobar 2021.</w:t>
      </w:r>
    </w:p>
    <w:p w14:paraId="5C64053D" w14:textId="77777777" w:rsidR="00445599" w:rsidRPr="00D76A17" w:rsidRDefault="00445599" w:rsidP="00445599">
      <w:pPr>
        <w:pStyle w:val="5Normal"/>
        <w:spacing w:after="120"/>
        <w:rPr>
          <w:b/>
          <w:bCs/>
          <w:sz w:val="24"/>
          <w:lang w:val="sr-Latn-RS"/>
        </w:rPr>
      </w:pPr>
      <w:r w:rsidRPr="00D76A17">
        <w:rPr>
          <w:b/>
          <w:bCs/>
          <w:sz w:val="24"/>
          <w:lang w:val="sr-Latn-RS"/>
        </w:rPr>
        <w:t>Paket proširenja za 2021. godinu: Evropska komisija ocenjuje i utvrđuje reformske prioritete za Zapadni Balkan i Tursku</w:t>
      </w:r>
    </w:p>
    <w:p w14:paraId="3AAC503C" w14:textId="466FC273" w:rsidR="00806428" w:rsidRPr="00D76A17" w:rsidRDefault="000C7575" w:rsidP="00445599">
      <w:pPr>
        <w:pStyle w:val="5Normal"/>
        <w:spacing w:after="120"/>
        <w:rPr>
          <w:color w:val="000000"/>
          <w:lang w:val="sr-Latn-RS"/>
        </w:rPr>
      </w:pPr>
      <w:r w:rsidRPr="00D76A17">
        <w:rPr>
          <w:lang w:val="sr-Latn-RS"/>
        </w:rPr>
        <w:br/>
      </w:r>
      <w:r w:rsidR="00445599" w:rsidRPr="00D76A17">
        <w:rPr>
          <w:lang w:val="sr-Latn-RS"/>
        </w:rPr>
        <w:t>Danas je Evropska komisija usvojila Paket proširenja za 2021. godinu u kome detaljno ocenjuje stanje i napredak koji su postigli Zapadni Balkan i Turska na putu ka Evropskoj uniji, uz poseban fokus na sprovođenje osnovnih reformi, kao i jasne smernice o predstojećim reformskim prioritetima</w:t>
      </w:r>
      <w:r w:rsidR="008F73B2" w:rsidRPr="00D76A17">
        <w:rPr>
          <w:lang w:val="sr-Latn-RS"/>
        </w:rPr>
        <w:t>.</w:t>
      </w:r>
      <w:r w:rsidRPr="00D76A17">
        <w:rPr>
          <w:color w:val="000000"/>
          <w:lang w:val="sr-Latn-RS"/>
        </w:rPr>
        <w:br/>
      </w:r>
      <w:r w:rsidR="00365B8D" w:rsidRPr="00D76A17">
        <w:rPr>
          <w:color w:val="000000"/>
          <w:lang w:val="sr-Latn-RS"/>
        </w:rPr>
        <w:br/>
      </w:r>
      <w:r w:rsidR="00445599" w:rsidRPr="00D76A17">
        <w:rPr>
          <w:color w:val="000000"/>
          <w:lang w:val="sr-Latn-RS"/>
        </w:rPr>
        <w:t xml:space="preserve">Visoki predstavnik EU za spoljne poslove i bezbednosnu politiku i potpredsednik Evropske komisije, Đuzep </w:t>
      </w:r>
      <w:r w:rsidR="00445599" w:rsidRPr="00D76A17">
        <w:rPr>
          <w:b/>
          <w:color w:val="000000"/>
          <w:lang w:val="sr-Latn-RS"/>
        </w:rPr>
        <w:t>Borrelj</w:t>
      </w:r>
      <w:r w:rsidR="00445599" w:rsidRPr="00D76A17">
        <w:rPr>
          <w:color w:val="000000"/>
          <w:lang w:val="sr-Latn-RS"/>
        </w:rPr>
        <w:t>, je rekao: „</w:t>
      </w:r>
      <w:r w:rsidR="00445599" w:rsidRPr="00D76A17">
        <w:rPr>
          <w:i/>
          <w:lang w:val="sr-Latn-RS"/>
        </w:rPr>
        <w:t>Današnjim izveštajem dajemo detaljnu ocenu napretka postignutog na Zapadnom Balkanu i u Turskoj, kao i gde još ima posla da se uradi. Moramo da održimo kredibilan proces proširenja. To je dvosmerna ulica: nova metodologija je pristup zasnovan na zaslugama. On pruža snažniji fokus na osnovne reforme, kao što su vladavina prava, osnovne slobode, ekonomija i funkcionisanje demokratskih institucija. Naši partneri treba da se bave njima u interesu svojih građana i zarad napretka na evropskom putu. I treba da ostave međusobne razlike po strani. Na strani EU, mi treba da ispunimo naša obećanja. EU nije potpuna bez Zapadnog Balkana. Vreme je da se okupimo i ujedinimo u izgradnji snažnije Evrope.</w:t>
      </w:r>
      <w:r w:rsidR="00445599" w:rsidRPr="00D76A17">
        <w:rPr>
          <w:color w:val="1F497D"/>
          <w:lang w:val="sr-Latn-RS"/>
        </w:rPr>
        <w:t>”</w:t>
      </w:r>
    </w:p>
    <w:p w14:paraId="68D3FA1A" w14:textId="257206D1" w:rsidR="005C618E" w:rsidRPr="00D76A17" w:rsidRDefault="00D76A17" w:rsidP="00A46464">
      <w:pPr>
        <w:pStyle w:val="5Normal"/>
        <w:spacing w:after="120"/>
        <w:rPr>
          <w:i/>
          <w:color w:val="000000"/>
          <w:lang w:val="sr-Latn-RS"/>
        </w:rPr>
      </w:pPr>
      <w:r w:rsidRPr="00D76A17">
        <w:rPr>
          <w:color w:val="000000"/>
          <w:lang w:val="sr-Latn-RS"/>
        </w:rPr>
        <w:t xml:space="preserve">Predstavljajući ovogodišnji Paket, koji se sastoji od </w:t>
      </w:r>
      <w:r w:rsidR="002A008C">
        <w:rPr>
          <w:color w:val="000000"/>
          <w:lang w:val="sr-Latn-RS"/>
        </w:rPr>
        <w:t>Komunikea</w:t>
      </w:r>
      <w:r w:rsidRPr="00D76A17">
        <w:rPr>
          <w:color w:val="000000"/>
          <w:lang w:val="sr-Latn-RS"/>
        </w:rPr>
        <w:t xml:space="preserve"> o politici proširenja EU i godišnjih izveštaja, komesar EU za susedstvo i proširenje, Oliver </w:t>
      </w:r>
      <w:r w:rsidRPr="00D76A17">
        <w:rPr>
          <w:b/>
          <w:color w:val="000000"/>
          <w:lang w:val="sr-Latn-RS"/>
        </w:rPr>
        <w:t>Varhelji</w:t>
      </w:r>
      <w:r w:rsidRPr="00D76A17">
        <w:rPr>
          <w:color w:val="000000"/>
          <w:lang w:val="sr-Latn-RS"/>
        </w:rPr>
        <w:t>, je izjavio: „</w:t>
      </w:r>
      <w:r w:rsidRPr="00D76A17">
        <w:rPr>
          <w:i/>
          <w:color w:val="000000"/>
          <w:lang w:val="sr-Latn-RS"/>
        </w:rPr>
        <w:t xml:space="preserve">Politika proširenja je geostrateško ulaganje u mir, stabilnost, bezbednost i privredni rast na našem evropskom kontinentu. To je proces zasnovan na zaslugama, za koji dajemo </w:t>
      </w:r>
      <w:r w:rsidR="002A008C">
        <w:rPr>
          <w:i/>
          <w:color w:val="000000"/>
          <w:lang w:val="sr-Latn-RS"/>
        </w:rPr>
        <w:t>činjeničn</w:t>
      </w:r>
      <w:r w:rsidRPr="00D76A17">
        <w:rPr>
          <w:i/>
          <w:color w:val="000000"/>
          <w:lang w:val="sr-Latn-RS"/>
        </w:rPr>
        <w:t>u i pravičnu ocenu kao i jasan plan za ubrzanje i produbljivanje reformi kod naših partnera. To je u skladu sa našom revidiranom metodologijom proširenja, kojom se povećava verodostojnost procesa. Stojimo uz Zapadni Balkan i Tursku  uz značajnu finansijsku podršku kroz Instrument za pretpristupnu pomoć (IPA III). IPA III je takođe glavni izvor finansiranja za Ekonomsko-investicioni plan za Zapadni Balkan vredan skoro 30 milijardi evra</w:t>
      </w:r>
      <w:r w:rsidR="002B5CE0" w:rsidRPr="00D76A17">
        <w:rPr>
          <w:i/>
          <w:color w:val="000000"/>
          <w:lang w:val="sr-Latn-RS"/>
        </w:rPr>
        <w:t>,</w:t>
      </w:r>
      <w:r w:rsidRPr="00D76A17">
        <w:rPr>
          <w:i/>
          <w:color w:val="000000"/>
          <w:lang w:val="sr-Latn-RS"/>
        </w:rPr>
        <w:t xml:space="preserve"> čiji je cilj da pospeši ekonomski razvoj regiona </w:t>
      </w:r>
      <w:r w:rsidR="002A008C">
        <w:rPr>
          <w:i/>
          <w:color w:val="000000"/>
          <w:lang w:val="sr-Latn-RS"/>
        </w:rPr>
        <w:t>i</w:t>
      </w:r>
      <w:r w:rsidRPr="00D76A17">
        <w:rPr>
          <w:i/>
          <w:color w:val="000000"/>
          <w:lang w:val="sr-Latn-RS"/>
        </w:rPr>
        <w:t xml:space="preserve"> konvergenciju sa EU, kao </w:t>
      </w:r>
      <w:r>
        <w:rPr>
          <w:i/>
          <w:color w:val="000000"/>
          <w:lang w:val="sr-Latn-RS"/>
        </w:rPr>
        <w:t>i</w:t>
      </w:r>
      <w:r w:rsidRPr="00D76A17">
        <w:rPr>
          <w:i/>
          <w:color w:val="000000"/>
          <w:lang w:val="sr-Latn-RS"/>
        </w:rPr>
        <w:t xml:space="preserve"> dugotrajan oporavak posle pandemije</w:t>
      </w:r>
      <w:r w:rsidR="007065E8" w:rsidRPr="00D76A17">
        <w:rPr>
          <w:i/>
          <w:color w:val="000000"/>
          <w:lang w:val="sr-Latn-RS"/>
        </w:rPr>
        <w:t>.</w:t>
      </w:r>
      <w:r w:rsidR="009F7C37" w:rsidRPr="00D76A17">
        <w:rPr>
          <w:color w:val="000000"/>
          <w:lang w:val="sr-Latn-RS"/>
        </w:rPr>
        <w:t>”</w:t>
      </w:r>
      <w:r w:rsidR="000C7575" w:rsidRPr="00D76A17">
        <w:rPr>
          <w:b/>
          <w:bCs/>
          <w:szCs w:val="24"/>
          <w:lang w:val="sr-Latn-RS"/>
        </w:rPr>
        <w:br/>
      </w:r>
    </w:p>
    <w:p w14:paraId="0624E34E" w14:textId="36A90C95" w:rsidR="007F6C17" w:rsidRPr="00D76A17" w:rsidRDefault="00D76A17" w:rsidP="00365219">
      <w:pPr>
        <w:pStyle w:val="5Normal"/>
        <w:spacing w:after="120"/>
        <w:rPr>
          <w:b/>
          <w:bCs/>
          <w:lang w:val="sr-Latn-RS"/>
        </w:rPr>
      </w:pPr>
      <w:r>
        <w:rPr>
          <w:b/>
          <w:bCs/>
          <w:szCs w:val="24"/>
          <w:lang w:val="sr-Latn-RS"/>
        </w:rPr>
        <w:t>Zapadni Balkan</w:t>
      </w:r>
      <w:r w:rsidR="007F6C17" w:rsidRPr="00D76A17">
        <w:rPr>
          <w:b/>
          <w:bCs/>
          <w:szCs w:val="24"/>
          <w:lang w:val="sr-Latn-RS"/>
        </w:rPr>
        <w:t xml:space="preserve"> </w:t>
      </w:r>
    </w:p>
    <w:p w14:paraId="1D1F79B2" w14:textId="5C3564A6" w:rsidR="007F6C17" w:rsidRPr="00D76A17" w:rsidRDefault="00D76A17" w:rsidP="00365219">
      <w:pPr>
        <w:pStyle w:val="5Normal"/>
        <w:spacing w:after="120"/>
        <w:rPr>
          <w:lang w:val="sr-Latn-RS"/>
        </w:rPr>
      </w:pPr>
      <w:r>
        <w:rPr>
          <w:lang w:val="sr-Latn-RS"/>
        </w:rPr>
        <w:t>Nedavna poseta predsednice Komisije Ursule fon der Lajen regionu i samit</w:t>
      </w:r>
      <w:r w:rsidRPr="003F1F13">
        <w:rPr>
          <w:lang w:val="sr-Latn-RS"/>
        </w:rPr>
        <w:t xml:space="preserve"> EU-</w:t>
      </w:r>
      <w:r>
        <w:rPr>
          <w:lang w:val="sr-Latn-RS"/>
        </w:rPr>
        <w:t>Zapadni Balkan održan 6. oktobra</w:t>
      </w:r>
      <w:r w:rsidRPr="003F1F13">
        <w:rPr>
          <w:lang w:val="sr-Latn-RS"/>
        </w:rPr>
        <w:t xml:space="preserve"> 2021</w:t>
      </w:r>
      <w:r>
        <w:rPr>
          <w:lang w:val="sr-Latn-RS"/>
        </w:rPr>
        <w:t>. na Brdu kod K</w:t>
      </w:r>
      <w:r w:rsidR="002A008C">
        <w:rPr>
          <w:lang w:val="sr-Latn-RS"/>
        </w:rPr>
        <w:t>r</w:t>
      </w:r>
      <w:r>
        <w:rPr>
          <w:lang w:val="sr-Latn-RS"/>
        </w:rPr>
        <w:t>anja u Sloveniji poslali su važan signal da budućnost Z</w:t>
      </w:r>
      <w:r w:rsidR="002A008C">
        <w:rPr>
          <w:lang w:val="sr-Latn-RS"/>
        </w:rPr>
        <w:t>a</w:t>
      </w:r>
      <w:r>
        <w:rPr>
          <w:lang w:val="sr-Latn-RS"/>
        </w:rPr>
        <w:t>padnog Balkana leži u Evropskoj uniji</w:t>
      </w:r>
      <w:r w:rsidRPr="003F1F13">
        <w:rPr>
          <w:lang w:val="sr-Latn-RS"/>
        </w:rPr>
        <w:t xml:space="preserve">. </w:t>
      </w:r>
      <w:r>
        <w:rPr>
          <w:lang w:val="sr-Latn-RS"/>
        </w:rPr>
        <w:t>Jasna i strateška opredeljenost EU za region se ogleda u nizu ključnih akcija koje donose opipljive koristi građanima Zapadnog Balkana, od stalne podrške odgovoru na Kovid-19 do značajnog finansijskog zaloga u okviru Ekonomsko-investicionog plana da se podstakne dugoročni privredni rast regiona i da se krene ka zelenijim, digitalnijim i inovativnijim ekonomijama</w:t>
      </w:r>
      <w:r w:rsidR="007F6C17" w:rsidRPr="00D76A17">
        <w:rPr>
          <w:lang w:val="sr-Latn-RS"/>
        </w:rPr>
        <w:t xml:space="preserve">. </w:t>
      </w:r>
    </w:p>
    <w:p w14:paraId="75A29BD5" w14:textId="3C436897" w:rsidR="00776DEF" w:rsidRPr="00D76A17" w:rsidRDefault="00D76A17" w:rsidP="00365219">
      <w:pPr>
        <w:pStyle w:val="5Normal"/>
        <w:spacing w:after="120"/>
        <w:rPr>
          <w:lang w:val="sr-Latn-RS"/>
        </w:rPr>
      </w:pPr>
      <w:r>
        <w:rPr>
          <w:b/>
          <w:lang w:val="sr-Latn-RS"/>
        </w:rPr>
        <w:t>Crna Gora i Srbija</w:t>
      </w:r>
      <w:r w:rsidRPr="003F1F13">
        <w:rPr>
          <w:lang w:val="sr-Latn-RS"/>
        </w:rPr>
        <w:t xml:space="preserve"> </w:t>
      </w:r>
      <w:r>
        <w:rPr>
          <w:lang w:val="sr-Latn-RS"/>
        </w:rPr>
        <w:t>su prihvatile primenu revidirane metodologije. Prve političke međuvladine konferencije sa Crnom Gorom i Srbijom su održane u junu</w:t>
      </w:r>
      <w:r w:rsidRPr="003F1F13">
        <w:rPr>
          <w:lang w:val="sr-Latn-RS"/>
        </w:rPr>
        <w:t xml:space="preserve"> 2021, </w:t>
      </w:r>
      <w:r>
        <w:rPr>
          <w:lang w:val="sr-Latn-RS"/>
        </w:rPr>
        <w:t>dajući političko usmerenje njihovom procesu pristupanja</w:t>
      </w:r>
      <w:r w:rsidR="00776DEF" w:rsidRPr="00D76A17">
        <w:rPr>
          <w:lang w:val="sr-Latn-RS"/>
        </w:rPr>
        <w:t>.</w:t>
      </w:r>
    </w:p>
    <w:p w14:paraId="6FC291EA" w14:textId="22B6534F" w:rsidR="00931A89" w:rsidRPr="00D76A17" w:rsidRDefault="00D76A17" w:rsidP="00D51923">
      <w:pPr>
        <w:pStyle w:val="5Normal"/>
        <w:spacing w:after="120"/>
        <w:rPr>
          <w:lang w:val="sr-Latn-RS"/>
        </w:rPr>
      </w:pPr>
      <w:r>
        <w:rPr>
          <w:noProof/>
          <w:spacing w:val="-6"/>
          <w:lang w:val="sr-Latn-RS" w:eastAsia="de-AT"/>
        </w:rPr>
        <w:t xml:space="preserve">Za </w:t>
      </w:r>
      <w:r>
        <w:rPr>
          <w:b/>
          <w:noProof/>
          <w:spacing w:val="-6"/>
          <w:lang w:val="sr-Latn-RS" w:eastAsia="de-AT"/>
        </w:rPr>
        <w:t>Crnu Goru</w:t>
      </w:r>
      <w:r w:rsidR="00D51923" w:rsidRPr="00D76A17">
        <w:rPr>
          <w:noProof/>
          <w:spacing w:val="-6"/>
          <w:lang w:val="sr-Latn-RS" w:eastAsia="de-AT"/>
        </w:rPr>
        <w:t xml:space="preserve">, </w:t>
      </w:r>
      <w:r>
        <w:rPr>
          <w:noProof/>
          <w:spacing w:val="-6"/>
          <w:lang w:val="sr-Latn-RS" w:eastAsia="de-AT"/>
        </w:rPr>
        <w:t xml:space="preserve">prema oceni Komisije, trenutno je postignut </w:t>
      </w:r>
      <w:r>
        <w:rPr>
          <w:b/>
          <w:noProof/>
          <w:spacing w:val="-6"/>
          <w:lang w:val="sr-Latn-RS" w:eastAsia="de-AT"/>
        </w:rPr>
        <w:t>ukupni balans</w:t>
      </w:r>
      <w:r w:rsidR="00D51923" w:rsidRPr="00D76A17">
        <w:rPr>
          <w:noProof/>
          <w:spacing w:val="-6"/>
          <w:lang w:val="sr-Latn-RS" w:eastAsia="de-AT"/>
        </w:rPr>
        <w:t xml:space="preserve"> </w:t>
      </w:r>
      <w:r>
        <w:rPr>
          <w:noProof/>
          <w:spacing w:val="-6"/>
          <w:lang w:val="sr-Latn-RS" w:eastAsia="de-AT"/>
        </w:rPr>
        <w:t xml:space="preserve">između napretka u okviru poglavlja o vladavini prava i napretka u </w:t>
      </w:r>
      <w:r>
        <w:rPr>
          <w:b/>
          <w:noProof/>
          <w:spacing w:val="-6"/>
          <w:lang w:val="sr-Latn-RS" w:eastAsia="de-AT"/>
        </w:rPr>
        <w:t xml:space="preserve">pristupnim pregovorima </w:t>
      </w:r>
      <w:r>
        <w:rPr>
          <w:noProof/>
          <w:spacing w:val="-6"/>
          <w:lang w:val="sr-Latn-RS" w:eastAsia="de-AT"/>
        </w:rPr>
        <w:t xml:space="preserve">širom poglavlja. Ispunjavanje prelaznih merila za vladavinu prava u okviru poglavlja 23 i 24 ostaje prioritet za </w:t>
      </w:r>
      <w:r>
        <w:rPr>
          <w:noProof/>
          <w:spacing w:val="-6"/>
          <w:lang w:val="sr-Latn-RS" w:eastAsia="de-AT"/>
        </w:rPr>
        <w:lastRenderedPageBreak/>
        <w:t xml:space="preserve">dalji </w:t>
      </w:r>
      <w:r w:rsidR="00CA61C6">
        <w:rPr>
          <w:noProof/>
          <w:spacing w:val="-6"/>
          <w:lang w:val="sr-Latn-RS" w:eastAsia="de-AT"/>
        </w:rPr>
        <w:t xml:space="preserve">sveukupni </w:t>
      </w:r>
      <w:r>
        <w:rPr>
          <w:noProof/>
          <w:spacing w:val="-6"/>
          <w:lang w:val="sr-Latn-RS" w:eastAsia="de-AT"/>
        </w:rPr>
        <w:t>napredak u pregovorima. Da bi se dostigla ova prekretnica, vlasti treba da u praksi pokažu svoju posvećenost reformskoj agendi Crne Gore vezanoj za EU. Crna Gora treba dodatno da intenzivira napore u rešavanju nerešenih pitanja, između ostalog u vrlo važnoj oblasti slobode izražavanja i medijskih sloboda i borbi protiv korupcije i organizovanog kriminala, tako da ne idu na uštrb ranijih dostignuća u reformi pravosuđa</w:t>
      </w:r>
      <w:r w:rsidR="00D51923" w:rsidRPr="00D76A17">
        <w:rPr>
          <w:noProof/>
          <w:lang w:val="sr-Latn-RS"/>
        </w:rPr>
        <w:t xml:space="preserve">. </w:t>
      </w:r>
    </w:p>
    <w:p w14:paraId="516C6EA8" w14:textId="4EEAE990" w:rsidR="00160A54" w:rsidRPr="00D76A17" w:rsidRDefault="00D76A17" w:rsidP="000F108A">
      <w:pPr>
        <w:pStyle w:val="5Normal"/>
        <w:spacing w:after="120"/>
        <w:rPr>
          <w:lang w:val="sr-Latn-RS"/>
        </w:rPr>
      </w:pPr>
      <w:r>
        <w:rPr>
          <w:noProof/>
          <w:lang w:val="sr-Latn-RS"/>
        </w:rPr>
        <w:t>Za</w:t>
      </w:r>
      <w:r w:rsidR="00D456D7" w:rsidRPr="00D76A17">
        <w:rPr>
          <w:noProof/>
          <w:lang w:val="sr-Latn-RS"/>
        </w:rPr>
        <w:t xml:space="preserve"> </w:t>
      </w:r>
      <w:r>
        <w:rPr>
          <w:b/>
          <w:noProof/>
          <w:lang w:val="sr-Latn-RS"/>
        </w:rPr>
        <w:t>Srbiju</w:t>
      </w:r>
      <w:r w:rsidR="00D456D7" w:rsidRPr="00D76A17">
        <w:rPr>
          <w:noProof/>
          <w:lang w:val="sr-Latn-RS"/>
        </w:rPr>
        <w:t xml:space="preserve">, </w:t>
      </w:r>
      <w:r>
        <w:rPr>
          <w:noProof/>
          <w:spacing w:val="-6"/>
          <w:lang w:val="sr-Latn-RS" w:eastAsia="de-AT"/>
        </w:rPr>
        <w:t xml:space="preserve">prema oceni Komisije, trenutno je postignut </w:t>
      </w:r>
      <w:r>
        <w:rPr>
          <w:b/>
          <w:noProof/>
          <w:spacing w:val="-6"/>
          <w:lang w:val="sr-Latn-RS" w:eastAsia="de-AT"/>
        </w:rPr>
        <w:t>ukupni balans</w:t>
      </w:r>
      <w:r w:rsidRPr="00D76A17">
        <w:rPr>
          <w:noProof/>
          <w:spacing w:val="-6"/>
          <w:lang w:val="sr-Latn-RS" w:eastAsia="de-AT"/>
        </w:rPr>
        <w:t xml:space="preserve"> </w:t>
      </w:r>
      <w:r>
        <w:rPr>
          <w:noProof/>
          <w:spacing w:val="-6"/>
          <w:lang w:val="sr-Latn-RS" w:eastAsia="de-AT"/>
        </w:rPr>
        <w:t>između napretka u okviru poglavlja o vladavini prava i</w:t>
      </w:r>
      <w:r w:rsidR="00B812BD">
        <w:rPr>
          <w:noProof/>
          <w:spacing w:val="-6"/>
          <w:lang w:val="sr-Latn-RS" w:eastAsia="de-AT"/>
        </w:rPr>
        <w:t xml:space="preserve"> normalizacije odsnosa sa Kosovom, na jednoj strani, i</w:t>
      </w:r>
      <w:r>
        <w:rPr>
          <w:noProof/>
          <w:spacing w:val="-6"/>
          <w:lang w:val="sr-Latn-RS" w:eastAsia="de-AT"/>
        </w:rPr>
        <w:t xml:space="preserve"> napretka u </w:t>
      </w:r>
      <w:r>
        <w:rPr>
          <w:b/>
          <w:noProof/>
          <w:spacing w:val="-6"/>
          <w:lang w:val="sr-Latn-RS" w:eastAsia="de-AT"/>
        </w:rPr>
        <w:t xml:space="preserve">pristupnim pregovorima </w:t>
      </w:r>
      <w:r>
        <w:rPr>
          <w:noProof/>
          <w:spacing w:val="-6"/>
          <w:lang w:val="sr-Latn-RS" w:eastAsia="de-AT"/>
        </w:rPr>
        <w:t>širom poglavlja</w:t>
      </w:r>
      <w:r w:rsidR="00B812BD">
        <w:rPr>
          <w:noProof/>
          <w:spacing w:val="-6"/>
          <w:lang w:val="sr-Latn-RS" w:eastAsia="de-AT"/>
        </w:rPr>
        <w:t>, na drugoj</w:t>
      </w:r>
      <w:r>
        <w:rPr>
          <w:noProof/>
          <w:spacing w:val="-6"/>
          <w:lang w:val="sr-Latn-RS" w:eastAsia="de-AT"/>
        </w:rPr>
        <w:t>.</w:t>
      </w:r>
      <w:r w:rsidR="00B812BD">
        <w:rPr>
          <w:noProof/>
          <w:spacing w:val="-6"/>
          <w:lang w:val="sr-Latn-RS" w:eastAsia="de-AT"/>
        </w:rPr>
        <w:t xml:space="preserve"> Srbija treba da nastavi i </w:t>
      </w:r>
      <w:r w:rsidR="00CA61C6">
        <w:rPr>
          <w:noProof/>
          <w:spacing w:val="-6"/>
          <w:lang w:val="sr-Latn-RS" w:eastAsia="de-AT"/>
        </w:rPr>
        <w:t xml:space="preserve">da </w:t>
      </w:r>
      <w:r w:rsidR="00B812BD">
        <w:rPr>
          <w:noProof/>
          <w:spacing w:val="-6"/>
          <w:lang w:val="sr-Latn-RS" w:eastAsia="de-AT"/>
        </w:rPr>
        <w:t xml:space="preserve">ubrza i produbi reforme koje se tiču nezavisnosti pravosuđa, suzbijanja korupcije, slobode medija, domaćeg procesuiranja ratnih zločina i borbe protiv organizovanog kriminala. </w:t>
      </w:r>
      <w:r w:rsidR="00B812BD">
        <w:rPr>
          <w:noProof/>
          <w:lang w:val="sr-Latn-RS"/>
        </w:rPr>
        <w:t xml:space="preserve">Srpske vlasti posebno treba da završe proces ustavne reforme u oblasti pravosuđa do kraja godine. Napredak Srbije u vladavini prava i normalizaciji odnosa sa Kosovom je ključan i odrediće ukupan tempo pristupnih pregovora. Srbija takođe treba da poboljša svoju usklađenost sa spoljnom i bezbednosnom politikom EU. U tom pogledu, nedavno povećanje procenta predstavlja pozitivan pomak. Komisija pozdravlja činjenicu da je Srbija ispunila merila za </w:t>
      </w:r>
      <w:r w:rsidR="00B812BD">
        <w:rPr>
          <w:b/>
          <w:noProof/>
          <w:lang w:val="sr-Latn-RS"/>
        </w:rPr>
        <w:t>otvaranje klastera 3 i 4</w:t>
      </w:r>
      <w:r w:rsidR="000B7860" w:rsidRPr="00D76A17">
        <w:rPr>
          <w:rFonts w:eastAsia="Calibri"/>
          <w:noProof/>
          <w:lang w:val="sr-Latn-RS"/>
        </w:rPr>
        <w:t xml:space="preserve">. </w:t>
      </w:r>
      <w:r w:rsidR="00B812BD">
        <w:rPr>
          <w:rFonts w:eastAsia="Calibri"/>
          <w:noProof/>
          <w:lang w:val="sr-Latn-RS"/>
        </w:rPr>
        <w:t>Komisija podržava ambiciju Srbije da što pre otvori nove pristupne klastere na osnovu nastavka napredovanja u reformama</w:t>
      </w:r>
      <w:r w:rsidR="00D62D4C" w:rsidRPr="00D76A17">
        <w:rPr>
          <w:lang w:val="sr-Latn-RS"/>
        </w:rPr>
        <w:t>.</w:t>
      </w:r>
    </w:p>
    <w:p w14:paraId="5C857939" w14:textId="6FC00BD5" w:rsidR="006B3D3B" w:rsidRPr="00D76A17" w:rsidRDefault="00113638" w:rsidP="00365219">
      <w:pPr>
        <w:pStyle w:val="5Normal"/>
        <w:spacing w:after="120"/>
        <w:rPr>
          <w:lang w:val="sr-Latn-RS"/>
        </w:rPr>
      </w:pPr>
      <w:r>
        <w:rPr>
          <w:b/>
          <w:lang w:val="sr-Latn-RS"/>
        </w:rPr>
        <w:t>Albanija i Severna Makedonija</w:t>
      </w:r>
      <w:r w:rsidR="006B3D3B" w:rsidRPr="00D76A17">
        <w:rPr>
          <w:lang w:val="sr-Latn-RS"/>
        </w:rPr>
        <w:t xml:space="preserve"> </w:t>
      </w:r>
      <w:r>
        <w:rPr>
          <w:lang w:val="sr-Latn-RS"/>
        </w:rPr>
        <w:t xml:space="preserve">nastavljaju da ispunjavaju uslove za </w:t>
      </w:r>
      <w:r>
        <w:rPr>
          <w:b/>
          <w:lang w:val="sr-Latn-RS"/>
        </w:rPr>
        <w:t xml:space="preserve">otvaranje pristupnih pregovora </w:t>
      </w:r>
      <w:r>
        <w:rPr>
          <w:lang w:val="sr-Latn-RS"/>
        </w:rPr>
        <w:t xml:space="preserve">i obe zemlje </w:t>
      </w:r>
      <w:r w:rsidR="00C93F1B">
        <w:rPr>
          <w:lang w:val="sr-Latn-RS"/>
        </w:rPr>
        <w:t>stabilno napreduju na putu reformi EU. Odlaganja zvaničnog početka pristupnih pregovora sa Albanijom i Severnom Makedonijom negativno utiču na kredibilitet EU</w:t>
      </w:r>
      <w:r w:rsidR="006B3D3B" w:rsidRPr="00D76A17">
        <w:rPr>
          <w:lang w:val="sr-Latn-RS"/>
        </w:rPr>
        <w:t xml:space="preserve">. </w:t>
      </w:r>
      <w:r w:rsidR="00C93F1B">
        <w:rPr>
          <w:lang w:val="sr-Latn-RS"/>
        </w:rPr>
        <w:t xml:space="preserve">Nerešena bilateralna pitanja između Bugarske i Severne Makedonije moraju prioritetno da se reše. Od ključnog je značaja da države članice EU bez daljeg odlaganja okončaju rasprave o Pregovaračkim okvirima i da se prve međuvladine konferencije s obe zemlje održe što je pre moguće, a pre kraja ove godine. </w:t>
      </w:r>
    </w:p>
    <w:p w14:paraId="4815C0A9" w14:textId="490B3835" w:rsidR="006B3D3B" w:rsidRPr="00D76A17" w:rsidRDefault="00C93F1B" w:rsidP="00FA1A1F">
      <w:pPr>
        <w:pStyle w:val="5Normal"/>
        <w:spacing w:after="120"/>
        <w:rPr>
          <w:lang w:val="sr-Latn-RS"/>
        </w:rPr>
      </w:pPr>
      <w:r>
        <w:rPr>
          <w:rFonts w:eastAsia="Calibri"/>
          <w:lang w:val="sr-Latn-RS"/>
        </w:rPr>
        <w:t>U</w:t>
      </w:r>
      <w:r w:rsidR="006B3D3B" w:rsidRPr="00D76A17">
        <w:rPr>
          <w:rFonts w:eastAsia="Calibri"/>
          <w:b/>
          <w:noProof/>
          <w:lang w:val="sr-Latn-RS"/>
        </w:rPr>
        <w:t xml:space="preserve"> Bosni</w:t>
      </w:r>
      <w:r>
        <w:rPr>
          <w:rFonts w:eastAsia="Calibri"/>
          <w:b/>
          <w:noProof/>
          <w:lang w:val="sr-Latn-RS"/>
        </w:rPr>
        <w:t xml:space="preserve"> i Hercegovini </w:t>
      </w:r>
      <w:r>
        <w:rPr>
          <w:rFonts w:eastAsia="Calibri"/>
          <w:noProof/>
          <w:lang w:val="sr-Latn-RS"/>
        </w:rPr>
        <w:t xml:space="preserve">strateški cilj evrointegracija nije pretvoren u konkretnu akciju. Političko okruženje je ostalo polarizovano jer su politički lideri nastavili da se upuštaju u retoriku podela i nekonstruktivne političke sporove, koji su ometali ukupni napredak u 14 ključnih prioriteta. Blokada državnih institucija i pozivi na povlačenje reformi izazivaju duboku zabrinutost i mogu se prevazići samo političkim dijalogom. Značajno smanjenje stope usklađenosti Bosne i Hercegovine sa spoljnom i bezbednosnom politikom EU je negativan signal. Ipak, učinjeni su neki značajni koraci, uključujući održavanje opštinskih izbora u Mostaru nakon 12 godina. </w:t>
      </w:r>
      <w:r w:rsidR="006B3D3B" w:rsidRPr="00D76A17">
        <w:rPr>
          <w:rFonts w:eastAsia="Calibri"/>
          <w:noProof/>
          <w:lang w:val="sr-Latn-RS"/>
        </w:rPr>
        <w:t>B</w:t>
      </w:r>
      <w:r w:rsidR="00956926" w:rsidRPr="00D76A17">
        <w:rPr>
          <w:rFonts w:eastAsia="Calibri"/>
          <w:noProof/>
          <w:lang w:val="sr-Latn-RS"/>
        </w:rPr>
        <w:t>iH</w:t>
      </w:r>
      <w:r w:rsidR="006B3D3B" w:rsidRPr="00D76A17">
        <w:rPr>
          <w:rFonts w:eastAsia="Calibri"/>
          <w:b/>
          <w:noProof/>
          <w:lang w:val="sr-Latn-RS"/>
        </w:rPr>
        <w:t xml:space="preserve"> </w:t>
      </w:r>
      <w:r>
        <w:rPr>
          <w:rFonts w:eastAsia="Calibri"/>
          <w:noProof/>
          <w:lang w:val="sr-Latn-RS"/>
        </w:rPr>
        <w:t>treba da reši</w:t>
      </w:r>
      <w:r w:rsidR="006B3D3B" w:rsidRPr="00D76A17">
        <w:rPr>
          <w:rFonts w:eastAsia="Calibri"/>
          <w:noProof/>
          <w:lang w:val="sr-Latn-RS"/>
        </w:rPr>
        <w:t xml:space="preserve"> </w:t>
      </w:r>
      <w:r w:rsidR="006B3D3B" w:rsidRPr="00D76A17">
        <w:rPr>
          <w:rFonts w:eastAsia="Calibri"/>
          <w:b/>
          <w:noProof/>
          <w:lang w:val="sr-Latn-RS"/>
        </w:rPr>
        <w:t xml:space="preserve">14 </w:t>
      </w:r>
      <w:r>
        <w:rPr>
          <w:rFonts w:eastAsia="Calibri"/>
          <w:b/>
          <w:noProof/>
          <w:lang w:val="sr-Latn-RS"/>
        </w:rPr>
        <w:t>ključnih prioriteta</w:t>
      </w:r>
      <w:r w:rsidR="006B3D3B" w:rsidRPr="00D76A17">
        <w:rPr>
          <w:rFonts w:eastAsia="Times New Roman"/>
          <w:noProof/>
          <w:snapToGrid w:val="0"/>
          <w:lang w:val="sr-Latn-RS"/>
        </w:rPr>
        <w:t xml:space="preserve">, </w:t>
      </w:r>
      <w:r>
        <w:rPr>
          <w:rFonts w:eastAsia="Times New Roman"/>
          <w:noProof/>
          <w:snapToGrid w:val="0"/>
          <w:lang w:val="sr-Latn-RS"/>
        </w:rPr>
        <w:t xml:space="preserve">uključujući izborne i ustavne reforme, i moraće da </w:t>
      </w:r>
      <w:r w:rsidR="00CA61C6">
        <w:rPr>
          <w:rFonts w:eastAsia="Times New Roman"/>
          <w:noProof/>
          <w:snapToGrid w:val="0"/>
          <w:lang w:val="sr-Latn-RS"/>
        </w:rPr>
        <w:t>postigne rezultate u</w:t>
      </w:r>
      <w:r>
        <w:rPr>
          <w:rFonts w:eastAsia="Times New Roman"/>
          <w:noProof/>
          <w:snapToGrid w:val="0"/>
          <w:lang w:val="sr-Latn-RS"/>
        </w:rPr>
        <w:t xml:space="preserve"> kritičn</w:t>
      </w:r>
      <w:r w:rsidR="00CA61C6">
        <w:rPr>
          <w:rFonts w:eastAsia="Times New Roman"/>
          <w:noProof/>
          <w:snapToGrid w:val="0"/>
          <w:lang w:val="sr-Latn-RS"/>
        </w:rPr>
        <w:t>oj</w:t>
      </w:r>
      <w:r>
        <w:rPr>
          <w:rFonts w:eastAsia="Times New Roman"/>
          <w:noProof/>
          <w:snapToGrid w:val="0"/>
          <w:lang w:val="sr-Latn-RS"/>
        </w:rPr>
        <w:t xml:space="preserve"> mas</w:t>
      </w:r>
      <w:r w:rsidR="00CA61C6">
        <w:rPr>
          <w:rFonts w:eastAsia="Times New Roman"/>
          <w:noProof/>
          <w:snapToGrid w:val="0"/>
          <w:lang w:val="sr-Latn-RS"/>
        </w:rPr>
        <w:t>i</w:t>
      </w:r>
      <w:r>
        <w:rPr>
          <w:rFonts w:eastAsia="Times New Roman"/>
          <w:noProof/>
          <w:snapToGrid w:val="0"/>
          <w:lang w:val="sr-Latn-RS"/>
        </w:rPr>
        <w:t xml:space="preserve"> reformi pre nego što Komisija bude mogla da preporuči dodeljivanje statusa kandidata zemlji. </w:t>
      </w:r>
    </w:p>
    <w:p w14:paraId="7BC8E777" w14:textId="7BA0B70F" w:rsidR="00581743" w:rsidRPr="00D76A17" w:rsidRDefault="00056A3D" w:rsidP="00286DDD">
      <w:pPr>
        <w:tabs>
          <w:tab w:val="left" w:pos="284"/>
        </w:tabs>
        <w:spacing w:after="120"/>
        <w:rPr>
          <w:lang w:val="sr-Latn-RS"/>
        </w:rPr>
      </w:pPr>
      <w:r>
        <w:rPr>
          <w:lang w:val="sr-Latn-RS"/>
        </w:rPr>
        <w:t>Na</w:t>
      </w:r>
      <w:r w:rsidR="00286DDD" w:rsidRPr="00D76A17">
        <w:rPr>
          <w:lang w:val="sr-Latn-RS"/>
        </w:rPr>
        <w:t xml:space="preserve"> </w:t>
      </w:r>
      <w:r>
        <w:rPr>
          <w:b/>
          <w:bCs/>
          <w:lang w:val="sr-Latn-RS"/>
        </w:rPr>
        <w:t>Kosovu</w:t>
      </w:r>
      <w:r w:rsidR="00286DDD" w:rsidRPr="00D76A17">
        <w:rPr>
          <w:lang w:val="sr-Latn-RS"/>
        </w:rPr>
        <w:t xml:space="preserve">, </w:t>
      </w:r>
      <w:r>
        <w:rPr>
          <w:lang w:val="sr-Latn-RS"/>
        </w:rPr>
        <w:t xml:space="preserve">vanredni parlamentarni izbori u februaru </w:t>
      </w:r>
      <w:r w:rsidR="00286DDD" w:rsidRPr="00D76A17">
        <w:rPr>
          <w:lang w:val="sr-Latn-RS"/>
        </w:rPr>
        <w:t>2021</w:t>
      </w:r>
      <w:r>
        <w:rPr>
          <w:lang w:val="sr-Latn-RS"/>
        </w:rPr>
        <w:t>. rezultirali su formiranjem nove vlade koja uživa jasnu parlamentarnu većinu</w:t>
      </w:r>
      <w:r w:rsidR="00286DDD" w:rsidRPr="00D76A17">
        <w:rPr>
          <w:lang w:val="sr-Latn-RS"/>
        </w:rPr>
        <w:t xml:space="preserve">. </w:t>
      </w:r>
      <w:r>
        <w:rPr>
          <w:lang w:val="sr-Latn-RS"/>
        </w:rPr>
        <w:t xml:space="preserve">Potpuno i efikasno sprovođenje reformskog akcionog plana u narednom periodu je od suštinske važnosti. Komisija ostaje pri svojoj oceni iz jula </w:t>
      </w:r>
      <w:r w:rsidR="00286DDD" w:rsidRPr="00D76A17">
        <w:rPr>
          <w:lang w:val="sr-Latn-RS"/>
        </w:rPr>
        <w:t>2018</w:t>
      </w:r>
      <w:r>
        <w:rPr>
          <w:lang w:val="sr-Latn-RS"/>
        </w:rPr>
        <w:t>. da je Kosovo ispunilo sve kriterijume za liberalizaciju viznog režima, ali predlog još uvek čeka na razmatranje u Savetu i trebalo bi ga tretirati po hitnom postupku</w:t>
      </w:r>
      <w:r w:rsidR="00286DDD" w:rsidRPr="00D76A17">
        <w:rPr>
          <w:lang w:val="sr-Latn-RS"/>
        </w:rPr>
        <w:t xml:space="preserve">. </w:t>
      </w:r>
    </w:p>
    <w:p w14:paraId="3C0A2064" w14:textId="451FD13A" w:rsidR="00581743" w:rsidRPr="00D76A17" w:rsidRDefault="000C1457" w:rsidP="000F108A">
      <w:pPr>
        <w:rPr>
          <w:lang w:val="sr-Latn-RS"/>
        </w:rPr>
      </w:pPr>
      <w:r>
        <w:rPr>
          <w:lang w:val="sr-Latn-RS"/>
        </w:rPr>
        <w:t>Sveobuhvatan, pravno obavezujući sporazum o normalizaciji odnosa sa Srbijom je hitan i krucijalan, kako bi Kosovo i Srbija mogle da napreduju na svom evropskom putu. Beograd i Priština treba da se konstruktivno angažuju u procesu dijaloga kojim posreduju visoki predstavnik EU Borelj i specijalni predstavnik EU Lajčak</w:t>
      </w:r>
      <w:r w:rsidR="00365219" w:rsidRPr="00D76A17">
        <w:rPr>
          <w:lang w:val="sr-Latn-RS"/>
        </w:rPr>
        <w:t>.</w:t>
      </w:r>
      <w:r w:rsidR="00ED3B91" w:rsidRPr="00D76A17">
        <w:rPr>
          <w:lang w:val="sr-Latn-RS"/>
        </w:rPr>
        <w:t xml:space="preserve"> </w:t>
      </w:r>
    </w:p>
    <w:p w14:paraId="4844D6B7" w14:textId="77777777" w:rsidR="00581743" w:rsidRPr="00D76A17" w:rsidRDefault="00581743" w:rsidP="000F108A">
      <w:pPr>
        <w:rPr>
          <w:lang w:val="sr-Latn-RS"/>
        </w:rPr>
      </w:pPr>
    </w:p>
    <w:p w14:paraId="585C0852" w14:textId="19213426" w:rsidR="00365219" w:rsidRPr="00D76A17" w:rsidRDefault="000C1457" w:rsidP="000F108A">
      <w:pPr>
        <w:rPr>
          <w:lang w:val="sr-Latn-RS"/>
        </w:rPr>
      </w:pPr>
      <w:r>
        <w:rPr>
          <w:lang w:val="sr-Latn-RS"/>
        </w:rPr>
        <w:t>Svih šest partnera sa Zapadnog Balkana su se obavezali na uspostavljanje zajedničkog regionalnog tržišta, na</w:t>
      </w:r>
      <w:r w:rsidR="00CC023E">
        <w:rPr>
          <w:lang w:val="sr-Latn-RS"/>
        </w:rPr>
        <w:t>slanja</w:t>
      </w:r>
      <w:r>
        <w:rPr>
          <w:lang w:val="sr-Latn-RS"/>
        </w:rPr>
        <w:t>jući se na pravila i standarde EU, i treba da se foksuiraju na prevazilaženje teškoća na koje se nailazi kako bi se građanima i privrednicima u regionu približile mogućnosti ove inicijative i maksimalno povećale koristi od ulaganja u okviru Ekonomsko-investicionog plana</w:t>
      </w:r>
      <w:r w:rsidR="00ED3B91" w:rsidRPr="00D76A17">
        <w:rPr>
          <w:lang w:val="sr-Latn-RS"/>
        </w:rPr>
        <w:t>.</w:t>
      </w:r>
    </w:p>
    <w:p w14:paraId="5DB80974" w14:textId="77777777" w:rsidR="00921669" w:rsidRPr="00D76A17" w:rsidRDefault="00921669" w:rsidP="00921669">
      <w:pPr>
        <w:pStyle w:val="5Normal"/>
        <w:spacing w:after="120"/>
        <w:rPr>
          <w:lang w:val="sr-Latn-RS"/>
        </w:rPr>
      </w:pPr>
    </w:p>
    <w:p w14:paraId="24784B73" w14:textId="4BC39274" w:rsidR="00581743" w:rsidRPr="00D76A17" w:rsidRDefault="000C1457" w:rsidP="000F108A">
      <w:pPr>
        <w:pStyle w:val="5Normal"/>
        <w:spacing w:after="120"/>
        <w:rPr>
          <w:lang w:val="sr-Latn-RS"/>
        </w:rPr>
      </w:pPr>
      <w:r>
        <w:rPr>
          <w:b/>
          <w:bCs/>
          <w:lang w:val="sr-Latn-RS"/>
        </w:rPr>
        <w:t>Turska</w:t>
      </w:r>
      <w:r w:rsidR="00921669" w:rsidRPr="00D76A17">
        <w:rPr>
          <w:b/>
          <w:bCs/>
          <w:lang w:val="sr-Latn-RS"/>
        </w:rPr>
        <w:br/>
      </w:r>
      <w:r w:rsidR="00212758" w:rsidRPr="00D76A17">
        <w:rPr>
          <w:lang w:val="sr-Latn-RS"/>
        </w:rPr>
        <w:br/>
      </w:r>
      <w:r>
        <w:rPr>
          <w:bCs/>
          <w:lang w:val="sr-Latn-RS"/>
        </w:rPr>
        <w:t>Turska je ključni partner Evropske unije u bitnim oblastima od zajedničkog interesa, poput migracija, borbe protiv terorizma, trgovine, energetike i transporta</w:t>
      </w:r>
      <w:r w:rsidR="00E53940" w:rsidRPr="00D76A17">
        <w:rPr>
          <w:lang w:val="sr-Latn-RS"/>
        </w:rPr>
        <w:t xml:space="preserve">. </w:t>
      </w:r>
    </w:p>
    <w:p w14:paraId="0ADF434B" w14:textId="6597CBA5" w:rsidR="00956926" w:rsidRPr="00D76A17" w:rsidRDefault="000C1457" w:rsidP="000F108A">
      <w:pPr>
        <w:pStyle w:val="5Normal"/>
        <w:spacing w:after="120"/>
        <w:rPr>
          <w:lang w:val="sr-Latn-RS"/>
        </w:rPr>
      </w:pPr>
      <w:r>
        <w:rPr>
          <w:lang w:val="sr-Latn-RS"/>
        </w:rPr>
        <w:t>Dijalog i saradnja sa Turskom su se povećali u</w:t>
      </w:r>
      <w:r w:rsidR="00581743" w:rsidRPr="00D76A17">
        <w:rPr>
          <w:lang w:val="sr-Latn-RS"/>
        </w:rPr>
        <w:t xml:space="preserve"> 2021. </w:t>
      </w:r>
      <w:r>
        <w:rPr>
          <w:rFonts w:eastAsia="Calibri"/>
          <w:noProof/>
          <w:color w:val="000000"/>
          <w:lang w:val="sr-Latn-RS"/>
        </w:rPr>
        <w:t xml:space="preserve">Evropski savet je više puta izjavio da EU ima strateški interes za stabilno i bezbedno okruženje u istočnom Mediteranu i za razvoj kooperativnih i obostrano korisnih odnosa sa </w:t>
      </w:r>
      <w:r w:rsidRPr="000C1457">
        <w:rPr>
          <w:rFonts w:eastAsia="Calibri"/>
          <w:b/>
          <w:noProof/>
          <w:color w:val="000000"/>
          <w:lang w:val="sr-Latn-RS"/>
        </w:rPr>
        <w:t>Turskom</w:t>
      </w:r>
      <w:r>
        <w:rPr>
          <w:rFonts w:eastAsia="Calibri"/>
          <w:noProof/>
          <w:color w:val="000000"/>
          <w:lang w:val="sr-Latn-RS"/>
        </w:rPr>
        <w:t xml:space="preserve">. </w:t>
      </w:r>
      <w:r>
        <w:rPr>
          <w:bCs/>
          <w:noProof/>
          <w:color w:val="000000"/>
          <w:lang w:val="sr-Latn-RS"/>
        </w:rPr>
        <w:t xml:space="preserve">Pozdravio je deeskalaciju u istočnom Mediteranu, koju treba održati. Na osnovu </w:t>
      </w:r>
      <w:hyperlink r:id="rId8" w:history="1">
        <w:r>
          <w:rPr>
            <w:rStyle w:val="Hyperlink"/>
            <w:rFonts w:ascii="Verdana" w:eastAsia="Verdana" w:hAnsi="Verdana"/>
            <w:bCs/>
            <w:noProof/>
            <w:lang w:val="sr-Latn-RS"/>
          </w:rPr>
          <w:t>Zajedničke komunikacije iz marta</w:t>
        </w:r>
        <w:r w:rsidR="00581743" w:rsidRPr="00D76A17">
          <w:rPr>
            <w:rStyle w:val="Hyperlink"/>
            <w:rFonts w:ascii="Verdana" w:eastAsia="Verdana" w:hAnsi="Verdana"/>
            <w:bCs/>
            <w:noProof/>
            <w:lang w:val="sr-Latn-RS"/>
          </w:rPr>
          <w:t xml:space="preserve"> 2021</w:t>
        </w:r>
        <w:r>
          <w:rPr>
            <w:rStyle w:val="Hyperlink"/>
            <w:rFonts w:ascii="Verdana" w:eastAsia="Verdana" w:hAnsi="Verdana"/>
            <w:bCs/>
            <w:noProof/>
            <w:lang w:val="sr-Latn-RS"/>
          </w:rPr>
          <w:t>. o stanju odnosa između EU i Turske</w:t>
        </w:r>
      </w:hyperlink>
      <w:r w:rsidR="00581743" w:rsidRPr="00D76A17">
        <w:rPr>
          <w:bCs/>
          <w:noProof/>
          <w:color w:val="000000"/>
          <w:lang w:val="sr-Latn-RS"/>
        </w:rPr>
        <w:t xml:space="preserve">, </w:t>
      </w:r>
      <w:r w:rsidR="00956926" w:rsidRPr="00D76A17">
        <w:rPr>
          <w:noProof/>
          <w:color w:val="000000" w:themeColor="text1"/>
          <w:lang w:val="sr-Latn-RS"/>
        </w:rPr>
        <w:t xml:space="preserve">EU </w:t>
      </w:r>
      <w:r>
        <w:rPr>
          <w:noProof/>
          <w:color w:val="000000" w:themeColor="text1"/>
          <w:lang w:val="sr-Latn-RS"/>
        </w:rPr>
        <w:t xml:space="preserve">je spremna da se postepeno, proporcionalno i reverzibilno angažuje sa </w:t>
      </w:r>
      <w:r w:rsidR="00CC023E">
        <w:rPr>
          <w:noProof/>
          <w:color w:val="000000" w:themeColor="text1"/>
          <w:lang w:val="sr-Latn-RS"/>
        </w:rPr>
        <w:t>T</w:t>
      </w:r>
      <w:r>
        <w:rPr>
          <w:noProof/>
          <w:color w:val="000000" w:themeColor="text1"/>
          <w:lang w:val="sr-Latn-RS"/>
        </w:rPr>
        <w:t>urskom radi jačanja saradnje u brojnim oblastima od zajedničkog interesa, pod uslovom da se trenutna deeskalacija održ</w:t>
      </w:r>
      <w:r w:rsidR="00CC023E">
        <w:rPr>
          <w:noProof/>
          <w:color w:val="000000" w:themeColor="text1"/>
          <w:lang w:val="sr-Latn-RS"/>
        </w:rPr>
        <w:t>i</w:t>
      </w:r>
      <w:r>
        <w:rPr>
          <w:noProof/>
          <w:color w:val="000000" w:themeColor="text1"/>
          <w:lang w:val="sr-Latn-RS"/>
        </w:rPr>
        <w:t xml:space="preserve"> i </w:t>
      </w:r>
      <w:r w:rsidR="003D5D18">
        <w:rPr>
          <w:noProof/>
          <w:color w:val="000000" w:themeColor="text1"/>
          <w:lang w:val="sr-Latn-RS"/>
        </w:rPr>
        <w:t xml:space="preserve">da </w:t>
      </w:r>
      <w:r>
        <w:rPr>
          <w:noProof/>
          <w:color w:val="000000" w:themeColor="text1"/>
          <w:lang w:val="sr-Latn-RS"/>
        </w:rPr>
        <w:t>Turska se konstruktivno angažuje i podleže utvrđenim uslovima.</w:t>
      </w:r>
      <w:r w:rsidR="003D5D18">
        <w:rPr>
          <w:noProof/>
          <w:color w:val="000000" w:themeColor="text1"/>
          <w:lang w:val="sr-Latn-RS"/>
        </w:rPr>
        <w:t xml:space="preserve"> U slučaju ponovnih jednostranih radnji ili provokacija koje krše međunarodno pravo, EU će koristiti sve instrumente i opcije kojima raspolaže kako bi odbranila svoje interese i interese svojih država članica. </w:t>
      </w:r>
      <w:r w:rsidR="003D5D18">
        <w:rPr>
          <w:color w:val="000000"/>
          <w:lang w:val="sr-Latn-RS"/>
        </w:rPr>
        <w:t xml:space="preserve">Očekuje se da će Turska aktivno podržati pregovore o poštenom, sveobuhvatnom i održivom rešenju kiparskog pitanja u okviru UN. </w:t>
      </w:r>
    </w:p>
    <w:p w14:paraId="0D72A84A" w14:textId="477C8981" w:rsidR="00956926" w:rsidRPr="00D76A17" w:rsidRDefault="003D5D18" w:rsidP="000F108A">
      <w:pPr>
        <w:pStyle w:val="5Normal"/>
        <w:spacing w:after="120"/>
        <w:rPr>
          <w:lang w:val="sr-Latn-RS"/>
        </w:rPr>
      </w:pPr>
      <w:r>
        <w:rPr>
          <w:noProof/>
          <w:color w:val="000000" w:themeColor="text1"/>
          <w:lang w:val="sr-Latn-RS"/>
        </w:rPr>
        <w:t xml:space="preserve">Lideri </w:t>
      </w:r>
      <w:r w:rsidR="00507C01" w:rsidRPr="00D76A17">
        <w:rPr>
          <w:noProof/>
          <w:color w:val="000000" w:themeColor="text1"/>
          <w:lang w:val="sr-Latn-RS"/>
        </w:rPr>
        <w:t>EU</w:t>
      </w:r>
      <w:r>
        <w:rPr>
          <w:noProof/>
          <w:color w:val="000000" w:themeColor="text1"/>
          <w:lang w:val="sr-Latn-RS"/>
        </w:rPr>
        <w:t xml:space="preserve"> su potvrdili da dijalog o vladavini prava i osnovnim pravima ostaje sastavni deo odnosa EU i Turske. Turska nije na kredibilan način pristupila ozbiljnoj zabrinutosti EU zbog stalnog pogoršanja vladavine prava, osnovnih prava i nezavisnosti sudstva. Turska mora prioritetno da preokrene ovaj negativan trend</w:t>
      </w:r>
      <w:r w:rsidR="00507C01" w:rsidRPr="00D76A17">
        <w:rPr>
          <w:noProof/>
          <w:color w:val="000000" w:themeColor="text1"/>
          <w:lang w:val="sr-Latn-RS"/>
        </w:rPr>
        <w:t xml:space="preserve"> </w:t>
      </w:r>
      <w:r>
        <w:rPr>
          <w:noProof/>
          <w:color w:val="000000" w:themeColor="text1"/>
          <w:lang w:val="sr-Latn-RS"/>
        </w:rPr>
        <w:t xml:space="preserve">rešavanjem pitanja slabljenja efikasne uzajamne kontrole u političkom sistemu. </w:t>
      </w:r>
      <w:r>
        <w:rPr>
          <w:lang w:val="sr-Latn-RS"/>
        </w:rPr>
        <w:t>Izjava EU-Turska iz marta</w:t>
      </w:r>
      <w:r w:rsidR="00956926" w:rsidRPr="00D76A17">
        <w:rPr>
          <w:lang w:val="sr-Latn-RS"/>
        </w:rPr>
        <w:t xml:space="preserve"> 2016</w:t>
      </w:r>
      <w:r>
        <w:rPr>
          <w:lang w:val="sr-Latn-RS"/>
        </w:rPr>
        <w:t>. nastavila je da daje rezultate, a Turska je nastavila da igra ključnu ulogu u rešavanju migracija duž istočnomediteranske rute i prihvatu najveće izbegličke populacije na svetu.</w:t>
      </w:r>
      <w:r w:rsidR="00956926" w:rsidRPr="00D76A17">
        <w:rPr>
          <w:lang w:val="sr-Latn-RS"/>
        </w:rPr>
        <w:t xml:space="preserve"> EU</w:t>
      </w:r>
      <w:r>
        <w:rPr>
          <w:lang w:val="sr-Latn-RS"/>
        </w:rPr>
        <w:t xml:space="preserve"> pozdravlja što je Turska ratifikovala Pariski sporazum o klimatskim promenama i raduje se saradnji sa Turskom u primeni Evropskog zelenog dogovora</w:t>
      </w:r>
      <w:r w:rsidR="00956926" w:rsidRPr="00D76A17">
        <w:rPr>
          <w:lang w:val="sr-Latn-RS"/>
        </w:rPr>
        <w:t xml:space="preserve">. </w:t>
      </w:r>
    </w:p>
    <w:p w14:paraId="20108C75" w14:textId="4C2FB1DF" w:rsidR="00212758" w:rsidRPr="00D76A17" w:rsidRDefault="008A4A2E" w:rsidP="00921669">
      <w:pPr>
        <w:pStyle w:val="5Normal"/>
        <w:spacing w:after="120"/>
        <w:rPr>
          <w:rFonts w:eastAsia="Times New Roman"/>
          <w:spacing w:val="0"/>
          <w:lang w:val="sr-Latn-RS" w:eastAsia="en-US"/>
        </w:rPr>
      </w:pPr>
      <w:r w:rsidRPr="00D76A17">
        <w:rPr>
          <w:lang w:val="sr-Latn-RS"/>
        </w:rPr>
        <w:br/>
      </w:r>
      <w:r w:rsidR="003D5D18">
        <w:rPr>
          <w:b/>
          <w:bCs/>
          <w:lang w:val="sr-Latn-RS"/>
        </w:rPr>
        <w:t>Naredni koraci</w:t>
      </w:r>
      <w:r w:rsidR="00921669" w:rsidRPr="00D76A17">
        <w:rPr>
          <w:b/>
          <w:bCs/>
          <w:lang w:val="sr-Latn-RS"/>
        </w:rPr>
        <w:br/>
      </w:r>
      <w:r w:rsidR="003D5D18">
        <w:rPr>
          <w:lang w:val="sr-Latn-RS"/>
        </w:rPr>
        <w:t>Sada je na Savetu da razmotri današnje preporuke Komisije i donese odluke o daljim koracima</w:t>
      </w:r>
      <w:r w:rsidR="00FC3D49" w:rsidRPr="00D76A17">
        <w:rPr>
          <w:lang w:val="sr-Latn-RS"/>
        </w:rPr>
        <w:t>.</w:t>
      </w:r>
      <w:r w:rsidR="00921669" w:rsidRPr="00D76A17">
        <w:rPr>
          <w:lang w:val="sr-Latn-RS"/>
        </w:rPr>
        <w:t xml:space="preserve"> </w:t>
      </w:r>
      <w:r w:rsidR="00921669" w:rsidRPr="00D76A17">
        <w:rPr>
          <w:b/>
          <w:lang w:val="sr-Latn-RS"/>
        </w:rPr>
        <w:br/>
      </w:r>
      <w:r w:rsidR="00921669" w:rsidRPr="00D76A17">
        <w:rPr>
          <w:b/>
          <w:lang w:val="sr-Latn-RS"/>
        </w:rPr>
        <w:br/>
      </w:r>
      <w:r w:rsidR="003D5D18">
        <w:rPr>
          <w:b/>
          <w:lang w:val="sr-Latn-RS"/>
        </w:rPr>
        <w:t>Pozadina</w:t>
      </w:r>
      <w:r w:rsidR="00B14CF0" w:rsidRPr="00D76A17">
        <w:rPr>
          <w:b/>
          <w:lang w:val="sr-Latn-RS"/>
        </w:rPr>
        <w:t xml:space="preserve"> </w:t>
      </w:r>
      <w:r w:rsidR="00921669" w:rsidRPr="00D76A17">
        <w:rPr>
          <w:b/>
          <w:lang w:val="sr-Latn-RS"/>
        </w:rPr>
        <w:t xml:space="preserve"> </w:t>
      </w:r>
      <w:r w:rsidR="00921669" w:rsidRPr="00D76A17">
        <w:rPr>
          <w:lang w:val="sr-Latn-RS"/>
        </w:rPr>
        <w:br/>
      </w:r>
      <w:r w:rsidR="00921669" w:rsidRPr="00D76A17">
        <w:rPr>
          <w:lang w:val="sr-Latn-RS"/>
        </w:rPr>
        <w:br/>
      </w:r>
      <w:r w:rsidR="003D5D18">
        <w:rPr>
          <w:lang w:val="sr-Latn-RS"/>
        </w:rPr>
        <w:t>Aktuelna agenda proširenja obuhvata partnere sa Zapadnog Balkana i Tursku</w:t>
      </w:r>
      <w:r w:rsidR="000C7575" w:rsidRPr="00D76A17">
        <w:rPr>
          <w:rFonts w:eastAsia="Times New Roman"/>
          <w:spacing w:val="0"/>
          <w:lang w:val="sr-Latn-RS" w:eastAsia="en-US"/>
        </w:rPr>
        <w:t>. </w:t>
      </w:r>
    </w:p>
    <w:p w14:paraId="35E927DE" w14:textId="075F49AC" w:rsidR="00FC3D49" w:rsidRPr="00D76A17" w:rsidRDefault="003D5D18" w:rsidP="00921669">
      <w:pPr>
        <w:pStyle w:val="5Normal"/>
        <w:spacing w:after="120"/>
        <w:rPr>
          <w:rFonts w:eastAsia="Times New Roman"/>
          <w:spacing w:val="0"/>
          <w:lang w:val="sr-Latn-RS" w:eastAsia="en-US"/>
        </w:rPr>
      </w:pPr>
      <w:r>
        <w:rPr>
          <w:rFonts w:eastAsia="Times New Roman"/>
          <w:spacing w:val="0"/>
          <w:lang w:val="sr-Latn-RS" w:eastAsia="en-US"/>
        </w:rPr>
        <w:t xml:space="preserve">Pristupni pregovori su otvoreni sa </w:t>
      </w:r>
      <w:hyperlink r:id="rId9" w:history="1">
        <w:r w:rsidR="0047274B" w:rsidRPr="00D76A17">
          <w:rPr>
            <w:rFonts w:eastAsia="Times New Roman" w:cs="Arial"/>
            <w:spacing w:val="0"/>
            <w:u w:val="single"/>
            <w:lang w:val="sr-Latn-RS" w:eastAsia="en-US"/>
          </w:rPr>
          <w:t>Tur</w:t>
        </w:r>
        <w:r>
          <w:rPr>
            <w:rFonts w:eastAsia="Times New Roman" w:cs="Arial"/>
            <w:spacing w:val="0"/>
            <w:u w:val="single"/>
            <w:lang w:val="sr-Latn-RS" w:eastAsia="en-US"/>
          </w:rPr>
          <w:t>skom</w:t>
        </w:r>
      </w:hyperlink>
      <w:r w:rsidR="0047274B" w:rsidRPr="00D76A17">
        <w:rPr>
          <w:rFonts w:eastAsia="Times New Roman"/>
          <w:spacing w:val="0"/>
          <w:lang w:val="sr-Latn-RS" w:eastAsia="en-US"/>
        </w:rPr>
        <w:t> (2005),</w:t>
      </w:r>
      <w:r>
        <w:rPr>
          <w:rFonts w:eastAsia="Times New Roman"/>
          <w:spacing w:val="0"/>
          <w:lang w:val="sr-Latn-RS" w:eastAsia="en-US"/>
        </w:rPr>
        <w:t xml:space="preserve"> </w:t>
      </w:r>
      <w:r>
        <w:rPr>
          <w:rFonts w:eastAsia="Times New Roman" w:cs="Arial"/>
          <w:spacing w:val="0"/>
          <w:u w:val="single"/>
          <w:lang w:val="sr-Latn-RS" w:eastAsia="en-US"/>
        </w:rPr>
        <w:t>Crnom Gorom</w:t>
      </w:r>
      <w:r w:rsidR="00FC3D49" w:rsidRPr="00D76A17">
        <w:rPr>
          <w:rFonts w:eastAsia="Times New Roman"/>
          <w:spacing w:val="0"/>
          <w:lang w:val="sr-Latn-RS" w:eastAsia="en-US"/>
        </w:rPr>
        <w:t> (2012), </w:t>
      </w:r>
      <w:hyperlink r:id="rId10" w:history="1">
        <w:r w:rsidR="00FC3D49" w:rsidRPr="00D76A17">
          <w:rPr>
            <w:rFonts w:eastAsia="Times New Roman" w:cs="Arial"/>
            <w:spacing w:val="0"/>
            <w:u w:val="single"/>
            <w:lang w:val="sr-Latn-RS" w:eastAsia="en-US"/>
          </w:rPr>
          <w:t>S</w:t>
        </w:r>
        <w:r>
          <w:rPr>
            <w:rFonts w:eastAsia="Times New Roman" w:cs="Arial"/>
            <w:spacing w:val="0"/>
            <w:u w:val="single"/>
            <w:lang w:val="sr-Latn-RS" w:eastAsia="en-US"/>
          </w:rPr>
          <w:t>rbijom</w:t>
        </w:r>
      </w:hyperlink>
      <w:r w:rsidR="00FC3D49" w:rsidRPr="00D76A17">
        <w:rPr>
          <w:rFonts w:eastAsia="Times New Roman"/>
          <w:spacing w:val="0"/>
          <w:lang w:val="sr-Latn-RS" w:eastAsia="en-US"/>
        </w:rPr>
        <w:t xml:space="preserve"> (2014). </w:t>
      </w:r>
      <w:r>
        <w:rPr>
          <w:rFonts w:eastAsia="Times New Roman"/>
          <w:spacing w:val="0"/>
          <w:lang w:val="sr-Latn-RS" w:eastAsia="en-US"/>
        </w:rPr>
        <w:t>U martu</w:t>
      </w:r>
      <w:r w:rsidR="00FC3D49" w:rsidRPr="00D76A17">
        <w:rPr>
          <w:rFonts w:eastAsia="Times New Roman"/>
          <w:spacing w:val="0"/>
          <w:lang w:val="sr-Latn-RS" w:eastAsia="en-US"/>
        </w:rPr>
        <w:t xml:space="preserve"> 2020, </w:t>
      </w:r>
      <w:r>
        <w:rPr>
          <w:rFonts w:eastAsia="Times New Roman"/>
          <w:spacing w:val="0"/>
          <w:lang w:val="sr-Latn-RS" w:eastAsia="en-US"/>
        </w:rPr>
        <w:t>države članice su jednoglasno odlučile da otvore pristupne pregovore sa</w:t>
      </w:r>
      <w:r w:rsidR="00FC3D49" w:rsidRPr="00D76A17">
        <w:rPr>
          <w:rFonts w:eastAsia="Times New Roman"/>
          <w:spacing w:val="0"/>
          <w:lang w:val="sr-Latn-RS" w:eastAsia="en-US"/>
        </w:rPr>
        <w:t> </w:t>
      </w:r>
      <w:hyperlink r:id="rId11" w:history="1">
        <w:r>
          <w:rPr>
            <w:rFonts w:eastAsia="Times New Roman" w:cs="Arial"/>
            <w:spacing w:val="0"/>
            <w:u w:val="single"/>
            <w:lang w:val="sr-Latn-RS" w:eastAsia="en-US"/>
          </w:rPr>
          <w:t>Severnom Makedonijom</w:t>
        </w:r>
      </w:hyperlink>
      <w:r w:rsidR="00FC3D49" w:rsidRPr="00D76A17">
        <w:rPr>
          <w:rFonts w:eastAsia="Times New Roman"/>
          <w:spacing w:val="0"/>
          <w:lang w:val="sr-Latn-RS" w:eastAsia="en-US"/>
        </w:rPr>
        <w:t> </w:t>
      </w:r>
      <w:r>
        <w:rPr>
          <w:rFonts w:eastAsia="Times New Roman"/>
          <w:spacing w:val="0"/>
          <w:lang w:val="sr-Latn-RS" w:eastAsia="en-US"/>
        </w:rPr>
        <w:t>i</w:t>
      </w:r>
      <w:r w:rsidR="00FC3D49" w:rsidRPr="00D76A17">
        <w:rPr>
          <w:rFonts w:eastAsia="Times New Roman"/>
          <w:spacing w:val="0"/>
          <w:lang w:val="sr-Latn-RS" w:eastAsia="en-US"/>
        </w:rPr>
        <w:t> </w:t>
      </w:r>
      <w:hyperlink r:id="rId12" w:history="1">
        <w:r w:rsidR="00FC3D49" w:rsidRPr="00D76A17">
          <w:rPr>
            <w:rFonts w:eastAsia="Times New Roman" w:cs="Arial"/>
            <w:spacing w:val="0"/>
            <w:u w:val="single"/>
            <w:lang w:val="sr-Latn-RS" w:eastAsia="en-US"/>
          </w:rPr>
          <w:t>Albani</w:t>
        </w:r>
        <w:r>
          <w:rPr>
            <w:rFonts w:eastAsia="Times New Roman" w:cs="Arial"/>
            <w:spacing w:val="0"/>
            <w:u w:val="single"/>
            <w:lang w:val="sr-Latn-RS" w:eastAsia="en-US"/>
          </w:rPr>
          <w:t>jom</w:t>
        </w:r>
      </w:hyperlink>
      <w:r w:rsidR="00FC3D49" w:rsidRPr="00D76A17">
        <w:rPr>
          <w:rFonts w:eastAsia="Times New Roman"/>
          <w:spacing w:val="0"/>
          <w:lang w:val="sr-Latn-RS" w:eastAsia="en-US"/>
        </w:rPr>
        <w:t>. </w:t>
      </w:r>
      <w:hyperlink r:id="rId13" w:history="1">
        <w:r w:rsidR="00FC3D49" w:rsidRPr="00D76A17">
          <w:rPr>
            <w:rFonts w:eastAsia="Times New Roman" w:cs="Arial"/>
            <w:spacing w:val="0"/>
            <w:u w:val="single"/>
            <w:lang w:val="sr-Latn-RS" w:eastAsia="en-US"/>
          </w:rPr>
          <w:t>Bosna</w:t>
        </w:r>
        <w:r>
          <w:rPr>
            <w:rFonts w:eastAsia="Times New Roman" w:cs="Arial"/>
            <w:spacing w:val="0"/>
            <w:u w:val="single"/>
            <w:lang w:val="sr-Latn-RS" w:eastAsia="en-US"/>
          </w:rPr>
          <w:t xml:space="preserve"> i Hercegovina</w:t>
        </w:r>
      </w:hyperlink>
      <w:r w:rsidR="00FC3D49" w:rsidRPr="00D76A17">
        <w:rPr>
          <w:rFonts w:eastAsia="Times New Roman"/>
          <w:spacing w:val="0"/>
          <w:lang w:val="sr-Latn-RS" w:eastAsia="en-US"/>
        </w:rPr>
        <w:t> (</w:t>
      </w:r>
      <w:r>
        <w:rPr>
          <w:lang w:val="sr-Latn-RS"/>
        </w:rPr>
        <w:t>zahtev za pridruživanje EU podnet u februaru</w:t>
      </w:r>
      <w:r w:rsidRPr="0097725B">
        <w:rPr>
          <w:lang w:val="sr-Latn-RS"/>
        </w:rPr>
        <w:t xml:space="preserve"> 2016</w:t>
      </w:r>
      <w:r>
        <w:rPr>
          <w:lang w:val="sr-Latn-RS"/>
        </w:rPr>
        <w:t>.</w:t>
      </w:r>
      <w:r w:rsidRPr="0097725B">
        <w:rPr>
          <w:lang w:val="sr-Latn-RS"/>
        </w:rPr>
        <w:t xml:space="preserve">) </w:t>
      </w:r>
      <w:r>
        <w:rPr>
          <w:lang w:val="sr-Latn-RS"/>
        </w:rPr>
        <w:t>i</w:t>
      </w:r>
      <w:r w:rsidR="00FC3D49" w:rsidRPr="00D76A17">
        <w:rPr>
          <w:rFonts w:eastAsia="Times New Roman"/>
          <w:spacing w:val="0"/>
          <w:lang w:val="sr-Latn-RS" w:eastAsia="en-US"/>
        </w:rPr>
        <w:t> </w:t>
      </w:r>
      <w:hyperlink r:id="rId14" w:history="1">
        <w:r w:rsidR="00FC3D49" w:rsidRPr="00D76A17">
          <w:rPr>
            <w:rFonts w:eastAsia="Times New Roman" w:cs="Arial"/>
            <w:spacing w:val="0"/>
            <w:u w:val="single"/>
            <w:lang w:val="sr-Latn-RS" w:eastAsia="en-US"/>
          </w:rPr>
          <w:t>Kosovo</w:t>
        </w:r>
      </w:hyperlink>
      <w:r w:rsidR="00FC3D49" w:rsidRPr="00D76A17">
        <w:rPr>
          <w:rFonts w:eastAsia="Times New Roman"/>
          <w:spacing w:val="0"/>
          <w:lang w:val="sr-Latn-RS" w:eastAsia="en-US"/>
        </w:rPr>
        <w:t> (</w:t>
      </w:r>
      <w:r>
        <w:rPr>
          <w:lang w:val="sr-Latn-RS"/>
        </w:rPr>
        <w:t>Sporazum o stabilizaciji i pridruživanju stupio na snagu u aprilu</w:t>
      </w:r>
      <w:r w:rsidRPr="0097725B">
        <w:rPr>
          <w:lang w:val="sr-Latn-RS"/>
        </w:rPr>
        <w:t xml:space="preserve"> 2016</w:t>
      </w:r>
      <w:r>
        <w:rPr>
          <w:lang w:val="sr-Latn-RS"/>
        </w:rPr>
        <w:t>.</w:t>
      </w:r>
      <w:r w:rsidRPr="0097725B">
        <w:rPr>
          <w:lang w:val="sr-Latn-RS"/>
        </w:rPr>
        <w:t xml:space="preserve">) </w:t>
      </w:r>
      <w:r>
        <w:rPr>
          <w:lang w:val="sr-Latn-RS"/>
        </w:rPr>
        <w:t>su potencijalni kandidati</w:t>
      </w:r>
      <w:r w:rsidR="00FC3D49" w:rsidRPr="00D76A17">
        <w:rPr>
          <w:rFonts w:eastAsia="Times New Roman"/>
          <w:spacing w:val="0"/>
          <w:lang w:val="sr-Latn-RS" w:eastAsia="en-US"/>
        </w:rPr>
        <w:t>.</w:t>
      </w:r>
    </w:p>
    <w:p w14:paraId="4CAB2E70" w14:textId="5EFCD635" w:rsidR="00FC3D49" w:rsidRPr="00D76A17" w:rsidRDefault="005247A7" w:rsidP="00FC3D49">
      <w:pPr>
        <w:spacing w:before="100" w:beforeAutospacing="1" w:after="100" w:afterAutospacing="1"/>
        <w:ind w:right="0"/>
        <w:rPr>
          <w:rFonts w:eastAsia="Times New Roman"/>
          <w:spacing w:val="0"/>
          <w:lang w:val="sr-Latn-RS" w:eastAsia="en-US"/>
        </w:rPr>
      </w:pPr>
      <w:r>
        <w:rPr>
          <w:lang w:val="sr-Latn-RS"/>
        </w:rPr>
        <w:t>Proces pristupanja</w:t>
      </w:r>
      <w:r w:rsidRPr="0097725B">
        <w:rPr>
          <w:lang w:val="sr-Latn-RS"/>
        </w:rPr>
        <w:t xml:space="preserve"> EU </w:t>
      </w:r>
      <w:r>
        <w:rPr>
          <w:lang w:val="sr-Latn-RS"/>
        </w:rPr>
        <w:t>se i dalje zasniva na utvrđenim kriterijumima, pravednim i rigoroznim uslovima i načelu sopstvenih zasluga. Pristupanje EU zahteva sprovođenje kompleksnih reformi kako bi se preuzele obaveze koje proističu iz članstva i iskoristile brojne prilike</w:t>
      </w:r>
      <w:r w:rsidR="00FC3D49" w:rsidRPr="00D76A17">
        <w:rPr>
          <w:rFonts w:eastAsia="Times New Roman"/>
          <w:spacing w:val="0"/>
          <w:lang w:val="sr-Latn-RS" w:eastAsia="en-US"/>
        </w:rPr>
        <w:t xml:space="preserve">. </w:t>
      </w:r>
      <w:r>
        <w:rPr>
          <w:lang w:val="sr-Latn-RS"/>
        </w:rPr>
        <w:t>Da bi proces išao napred, kandidati za pristupanje treba, i to prioritetno, da brže postignu istinske i održive rezultate u ključnim pitanjima</w:t>
      </w:r>
      <w:r w:rsidRPr="0097725B">
        <w:rPr>
          <w:lang w:val="sr-Latn-RS"/>
        </w:rPr>
        <w:t>:</w:t>
      </w:r>
      <w:r>
        <w:rPr>
          <w:lang w:val="sr-Latn-RS"/>
        </w:rPr>
        <w:t xml:space="preserve"> vladavini prava, reformi pravosuđa, borbi protiv korupcije i organizovanog kriminala, bezbednosti, osnovnim pravima, funkcionisanju demokratskih institucija i reformi javne uprave, kao i </w:t>
      </w:r>
      <w:r w:rsidRPr="0097725B">
        <w:rPr>
          <w:lang w:val="sr-Latn-RS"/>
        </w:rPr>
        <w:t xml:space="preserve"> </w:t>
      </w:r>
      <w:r>
        <w:rPr>
          <w:lang w:val="sr-Latn-RS"/>
        </w:rPr>
        <w:t>ekonomskom razvoju i konkurentnosti</w:t>
      </w:r>
      <w:r w:rsidR="00FC3D49" w:rsidRPr="00D76A17">
        <w:rPr>
          <w:rFonts w:eastAsia="Times New Roman"/>
          <w:spacing w:val="0"/>
          <w:lang w:val="sr-Latn-RS" w:eastAsia="en-US"/>
        </w:rPr>
        <w:t>.</w:t>
      </w:r>
    </w:p>
    <w:p w14:paraId="5E2160C4" w14:textId="1AD0EC3B" w:rsidR="00C6769F" w:rsidRPr="00D76A17" w:rsidRDefault="005247A7" w:rsidP="00C6769F">
      <w:pPr>
        <w:pStyle w:val="NormalWeb"/>
        <w:rPr>
          <w:rFonts w:ascii="Verdana" w:eastAsia="Times New Roman" w:hAnsi="Verdana"/>
          <w:sz w:val="20"/>
          <w:szCs w:val="20"/>
          <w:lang w:val="sr-Latn-RS" w:eastAsia="en-US"/>
        </w:rPr>
      </w:pPr>
      <w:r>
        <w:rPr>
          <w:rFonts w:ascii="Verdana" w:eastAsia="Times New Roman" w:hAnsi="Verdana"/>
          <w:sz w:val="20"/>
          <w:szCs w:val="20"/>
          <w:lang w:val="sr-Latn-RS" w:eastAsia="en-US"/>
        </w:rPr>
        <w:t>Dalji napredak u pomirenju, dobrosusedskim odnosima i regionalnoj saradnji su takođe od izuzetnog značaja</w:t>
      </w:r>
      <w:r w:rsidR="00C6769F" w:rsidRPr="00D76A17">
        <w:rPr>
          <w:rFonts w:ascii="Verdana" w:eastAsia="Times New Roman" w:hAnsi="Verdana"/>
          <w:sz w:val="20"/>
          <w:szCs w:val="20"/>
          <w:lang w:val="sr-Latn-RS" w:eastAsia="en-US"/>
        </w:rPr>
        <w:t>.</w:t>
      </w:r>
    </w:p>
    <w:p w14:paraId="5B625FCC" w14:textId="4FA546A5" w:rsidR="008646FC" w:rsidRPr="00D76A17" w:rsidRDefault="005247A7" w:rsidP="00C165BA">
      <w:pPr>
        <w:pStyle w:val="NormalWeb"/>
        <w:jc w:val="both"/>
        <w:rPr>
          <w:rFonts w:ascii="Verdana" w:eastAsia="Times New Roman" w:hAnsi="Verdana"/>
          <w:sz w:val="20"/>
          <w:szCs w:val="20"/>
          <w:lang w:val="sr-Latn-RS" w:eastAsia="en-US"/>
        </w:rPr>
      </w:pPr>
      <w:r>
        <w:rPr>
          <w:rFonts w:ascii="Verdana" w:eastAsia="Times New Roman" w:hAnsi="Verdana"/>
          <w:sz w:val="20"/>
          <w:szCs w:val="20"/>
          <w:lang w:val="sr-Latn-RS" w:eastAsia="en-US"/>
        </w:rPr>
        <w:t xml:space="preserve">Izveštavanje u ovogodišnjem paketu dalje primenjuje predloge revidirane pristupne metodologije, definisane u </w:t>
      </w:r>
      <w:hyperlink r:id="rId15" w:history="1">
        <w:r w:rsidR="005560B2">
          <w:rPr>
            <w:rStyle w:val="Hyperlink"/>
            <w:rFonts w:ascii="Verdana" w:eastAsiaTheme="minorHAnsi" w:hAnsi="Verdana"/>
            <w:lang w:val="sr-Latn-RS" w:eastAsia="en-US"/>
          </w:rPr>
          <w:t>Komunikeu</w:t>
        </w:r>
        <w:r>
          <w:rPr>
            <w:rStyle w:val="Hyperlink"/>
            <w:rFonts w:ascii="Verdana" w:eastAsiaTheme="minorHAnsi" w:hAnsi="Verdana"/>
            <w:lang w:val="sr-Latn-RS" w:eastAsia="en-US"/>
          </w:rPr>
          <w:t xml:space="preserve"> Komisije „Unapređenje pristupnog procesa – verodostojna perspektiva EU za Zapadni Balkan“</w:t>
        </w:r>
      </w:hyperlink>
      <w:r w:rsidR="00370620" w:rsidRPr="00D76A17">
        <w:rPr>
          <w:rFonts w:ascii="Verdana" w:eastAsia="Times New Roman" w:hAnsi="Verdana"/>
          <w:sz w:val="20"/>
          <w:szCs w:val="20"/>
          <w:lang w:val="sr-Latn-RS" w:eastAsia="en-US"/>
        </w:rPr>
        <w:t xml:space="preserve">, </w:t>
      </w:r>
      <w:r>
        <w:rPr>
          <w:rFonts w:ascii="Verdana" w:eastAsia="Times New Roman" w:hAnsi="Verdana"/>
          <w:sz w:val="20"/>
          <w:szCs w:val="20"/>
          <w:lang w:val="sr-Latn-RS" w:eastAsia="en-US"/>
        </w:rPr>
        <w:t>kog su države članice odobrile u martu</w:t>
      </w:r>
      <w:r w:rsidR="00370620" w:rsidRPr="00D76A17">
        <w:rPr>
          <w:rFonts w:ascii="Verdana" w:eastAsia="Times New Roman" w:hAnsi="Verdana"/>
          <w:sz w:val="20"/>
          <w:szCs w:val="20"/>
          <w:lang w:val="sr-Latn-RS" w:eastAsia="en-US"/>
        </w:rPr>
        <w:t xml:space="preserve"> 2020</w:t>
      </w:r>
      <w:r w:rsidR="00C6769F" w:rsidRPr="00D76A17">
        <w:rPr>
          <w:rFonts w:ascii="Verdana" w:eastAsia="Times New Roman" w:hAnsi="Verdana"/>
          <w:sz w:val="20"/>
          <w:szCs w:val="20"/>
          <w:lang w:val="sr-Latn-RS" w:eastAsia="en-US"/>
        </w:rPr>
        <w:t xml:space="preserve">. </w:t>
      </w:r>
    </w:p>
    <w:p w14:paraId="5A57908E" w14:textId="6014DD59" w:rsidR="008646FC" w:rsidRPr="00D76A17" w:rsidRDefault="005247A7" w:rsidP="00C165BA">
      <w:pPr>
        <w:pStyle w:val="NormalWeb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>Revidirana pristupna metodologija stavlja još snažniji fokus na osnovne reforme u vladavini prava, ekonomiji i funkcionisanju demokratskih institucija, slobode izražavanja, slobode i pluralizma u medijima kao i javnoj upravi. One ostaju suštinski važne za pripremu zemalja kandidata i potencijalnih kandidata za ispunjavanje uslova za članstvo. Kapacitet i politička volja zemalja porširenja da se fokusiraju na te reforme i poguraju ih napred su centralne u njihovim evrointegracijama</w:t>
      </w:r>
      <w:r w:rsidR="008646FC" w:rsidRPr="00D76A17">
        <w:rPr>
          <w:rFonts w:ascii="Verdana" w:hAnsi="Verdana"/>
          <w:sz w:val="20"/>
          <w:szCs w:val="20"/>
          <w:lang w:val="sr-Latn-RS"/>
        </w:rPr>
        <w:t>. </w:t>
      </w:r>
    </w:p>
    <w:p w14:paraId="418A367D" w14:textId="64B2C066" w:rsidR="00C6769F" w:rsidRPr="00D76A17" w:rsidRDefault="005247A7" w:rsidP="00C165BA">
      <w:pPr>
        <w:pStyle w:val="NormalWeb"/>
        <w:jc w:val="both"/>
        <w:rPr>
          <w:rFonts w:ascii="Verdana" w:eastAsia="Times New Roman" w:hAnsi="Verdana"/>
          <w:sz w:val="20"/>
          <w:szCs w:val="20"/>
          <w:lang w:val="sr-Latn-RS" w:eastAsia="en-US"/>
        </w:rPr>
      </w:pPr>
      <w:r>
        <w:rPr>
          <w:rFonts w:ascii="Verdana" w:eastAsia="Times New Roman" w:hAnsi="Verdana"/>
          <w:sz w:val="20"/>
          <w:szCs w:val="20"/>
          <w:lang w:val="sr-Latn-RS" w:eastAsia="en-US"/>
        </w:rPr>
        <w:t xml:space="preserve">Pregovaračka poglavlja su grupisana u šest tematskih klastera, što omogućava širi tematski angažman sa partnerima. Od država članica su traženi snažniji doprinosi paketu, one su konsultovane tokom procesa i davale su informacije i ekspertizu, između ostalog i preko svojih ambasada na terenu. </w:t>
      </w:r>
      <w:r w:rsidR="00C6769F" w:rsidRPr="00D76A17">
        <w:rPr>
          <w:rFonts w:ascii="Verdana" w:eastAsia="Times New Roman" w:hAnsi="Verdana"/>
          <w:sz w:val="20"/>
          <w:szCs w:val="20"/>
          <w:lang w:val="sr-Latn-RS" w:eastAsia="en-US"/>
        </w:rPr>
        <w:t xml:space="preserve"> </w:t>
      </w:r>
      <w:r>
        <w:rPr>
          <w:rFonts w:ascii="Verdana" w:eastAsia="Times New Roman" w:hAnsi="Verdana"/>
          <w:sz w:val="20"/>
          <w:szCs w:val="20"/>
          <w:lang w:val="sr-Latn-RS" w:eastAsia="en-US"/>
        </w:rPr>
        <w:t xml:space="preserve">Izveštaji za </w:t>
      </w:r>
      <w:r w:rsidR="00C0777C" w:rsidRPr="00D76A17">
        <w:rPr>
          <w:rFonts w:ascii="Verdana" w:eastAsia="Times New Roman" w:hAnsi="Verdana"/>
          <w:sz w:val="20"/>
          <w:szCs w:val="20"/>
          <w:lang w:val="sr-Latn-RS" w:eastAsia="en-US"/>
        </w:rPr>
        <w:t>2021</w:t>
      </w:r>
      <w:r>
        <w:rPr>
          <w:rFonts w:ascii="Verdana" w:eastAsia="Times New Roman" w:hAnsi="Verdana"/>
          <w:sz w:val="20"/>
          <w:szCs w:val="20"/>
          <w:lang w:val="sr-Latn-RS" w:eastAsia="en-US"/>
        </w:rPr>
        <w:t>. takođe sadrže ocene javne političke posvećenosti vlasti strateškom cilju pristupanja EU</w:t>
      </w:r>
      <w:r w:rsidR="00C6769F" w:rsidRPr="00D76A17">
        <w:rPr>
          <w:rFonts w:ascii="Verdana" w:eastAsia="Times New Roman" w:hAnsi="Verdana"/>
          <w:sz w:val="20"/>
          <w:szCs w:val="20"/>
          <w:lang w:val="sr-Latn-RS" w:eastAsia="en-US"/>
        </w:rPr>
        <w:t>.</w:t>
      </w:r>
    </w:p>
    <w:p w14:paraId="45E78BF9" w14:textId="3345E45A" w:rsidR="008646FC" w:rsidRPr="00D76A17" w:rsidRDefault="00516750" w:rsidP="00C165BA">
      <w:pPr>
        <w:pStyle w:val="NormalWeb"/>
        <w:jc w:val="both"/>
        <w:rPr>
          <w:rFonts w:ascii="Verdana" w:eastAsia="Times New Roman" w:hAnsi="Verdana"/>
          <w:sz w:val="20"/>
          <w:szCs w:val="20"/>
          <w:lang w:val="sr-Latn-RS" w:eastAsia="en-US"/>
        </w:rPr>
      </w:pPr>
      <w:r>
        <w:rPr>
          <w:rFonts w:ascii="Verdana" w:hAnsi="Verdana"/>
          <w:sz w:val="20"/>
          <w:szCs w:val="20"/>
          <w:lang w:val="sr-Latn-RS"/>
        </w:rPr>
        <w:t>Novi Instrument za pretpristupnu pomoć</w:t>
      </w:r>
      <w:r w:rsidR="008646FC" w:rsidRPr="00D76A17">
        <w:rPr>
          <w:rFonts w:ascii="Verdana" w:hAnsi="Verdana"/>
          <w:sz w:val="20"/>
          <w:szCs w:val="20"/>
          <w:lang w:val="sr-Latn-RS"/>
        </w:rPr>
        <w:t xml:space="preserve">/IPA III, </w:t>
      </w:r>
      <w:r>
        <w:rPr>
          <w:rFonts w:ascii="Verdana" w:hAnsi="Verdana"/>
          <w:sz w:val="20"/>
          <w:szCs w:val="20"/>
          <w:lang w:val="sr-Latn-RS"/>
        </w:rPr>
        <w:t>usvojen 15. septembra sa budžetom od preko 14 milijardi evra, predstavlja solidno ulaganje u budućno</w:t>
      </w:r>
      <w:r w:rsidR="005560B2">
        <w:rPr>
          <w:rFonts w:ascii="Verdana" w:hAnsi="Verdana"/>
          <w:sz w:val="20"/>
          <w:szCs w:val="20"/>
          <w:lang w:val="sr-Latn-RS"/>
        </w:rPr>
        <w:t>st regiona proširenja i omogući</w:t>
      </w:r>
      <w:r>
        <w:rPr>
          <w:rFonts w:ascii="Verdana" w:hAnsi="Verdana"/>
          <w:sz w:val="20"/>
          <w:szCs w:val="20"/>
          <w:lang w:val="sr-Latn-RS"/>
        </w:rPr>
        <w:t>će Evropskoj uniji da obezbedi neophodne finansije za podršku sprovođenju ključnih političkih, institucionalnih, društvenih i ekonomskih reformi zarad ispunjavanja standarda EU i progresivnog usklađivanjima sa njenim pravilima i politikama</w:t>
      </w:r>
      <w:r w:rsidR="008646FC" w:rsidRPr="00D76A17">
        <w:rPr>
          <w:rFonts w:ascii="Verdana" w:hAnsi="Verdana" w:cs="Arial"/>
          <w:iCs/>
          <w:sz w:val="20"/>
          <w:szCs w:val="20"/>
          <w:lang w:val="sr-Latn-RS"/>
        </w:rPr>
        <w:t>. </w:t>
      </w:r>
    </w:p>
    <w:p w14:paraId="6E5939D7" w14:textId="62321FFA" w:rsidR="003B35A2" w:rsidRPr="00D76A17" w:rsidRDefault="00516750" w:rsidP="003B35A2">
      <w:pPr>
        <w:pStyle w:val="NormalWeb"/>
        <w:rPr>
          <w:rFonts w:ascii="Verdana" w:eastAsia="Times New Roman" w:hAnsi="Verdana"/>
          <w:lang w:val="sr-Latn-RS"/>
        </w:rPr>
      </w:pPr>
      <w:r>
        <w:rPr>
          <w:rStyle w:val="Strong"/>
          <w:rFonts w:ascii="Verdana" w:hAnsi="Verdana"/>
          <w:sz w:val="24"/>
          <w:szCs w:val="24"/>
          <w:lang w:val="sr-Latn-RS"/>
        </w:rPr>
        <w:t>Za više informacija</w:t>
      </w:r>
    </w:p>
    <w:p w14:paraId="700CE48A" w14:textId="4F5BAF46" w:rsidR="003B35A2" w:rsidRPr="00D76A17" w:rsidRDefault="0016548C" w:rsidP="003B35A2">
      <w:pPr>
        <w:pStyle w:val="NormalWeb"/>
        <w:rPr>
          <w:rFonts w:ascii="Verdana" w:hAnsi="Verdana"/>
          <w:sz w:val="20"/>
          <w:szCs w:val="20"/>
          <w:lang w:val="sr-Latn-RS"/>
        </w:rPr>
      </w:pPr>
      <w:hyperlink r:id="rId16" w:history="1">
        <w:r w:rsidR="005560B2">
          <w:rPr>
            <w:rStyle w:val="Hyperlink"/>
            <w:rFonts w:ascii="Verdana" w:eastAsiaTheme="minorHAnsi" w:hAnsi="Verdana"/>
            <w:lang w:val="sr-Latn-RS"/>
          </w:rPr>
          <w:t>Komunike</w:t>
        </w:r>
        <w:r w:rsidR="00516750">
          <w:rPr>
            <w:rStyle w:val="Hyperlink"/>
            <w:rFonts w:ascii="Verdana" w:eastAsiaTheme="minorHAnsi" w:hAnsi="Verdana"/>
            <w:lang w:val="sr-Latn-RS"/>
          </w:rPr>
          <w:t xml:space="preserve"> Komisije</w:t>
        </w:r>
      </w:hyperlink>
      <w:r w:rsidR="00212758" w:rsidRPr="00D76A17">
        <w:rPr>
          <w:rFonts w:ascii="Verdana" w:hAnsi="Verdana"/>
          <w:sz w:val="20"/>
          <w:szCs w:val="20"/>
          <w:lang w:val="sr-Latn-RS"/>
        </w:rPr>
        <w:br/>
      </w:r>
      <w:r w:rsidR="002F425B" w:rsidRPr="00D76A17">
        <w:rPr>
          <w:rStyle w:val="Emphasis"/>
          <w:rFonts w:ascii="Verdana" w:hAnsi="Verdana"/>
          <w:b/>
          <w:bCs/>
          <w:i w:val="0"/>
          <w:lang w:val="sr-Latn-RS"/>
        </w:rPr>
        <w:br/>
      </w:r>
      <w:r w:rsidR="00516750">
        <w:rPr>
          <w:rStyle w:val="Emphasis"/>
          <w:rFonts w:ascii="Verdana" w:hAnsi="Verdana"/>
          <w:b/>
          <w:bCs/>
          <w:i w:val="0"/>
          <w:lang w:val="sr-Latn-RS"/>
        </w:rPr>
        <w:t>Za detaljne zaključke i preporuke za svakog partnera pogledajte</w:t>
      </w:r>
      <w:r w:rsidR="003B35A2" w:rsidRPr="00D76A17">
        <w:rPr>
          <w:rStyle w:val="Emphasis"/>
          <w:rFonts w:ascii="Verdana" w:hAnsi="Verdana"/>
          <w:b/>
          <w:bCs/>
          <w:i w:val="0"/>
          <w:lang w:val="sr-Latn-RS"/>
        </w:rPr>
        <w:t>:</w:t>
      </w:r>
    </w:p>
    <w:p w14:paraId="39A870A7" w14:textId="3BBA3CC8" w:rsidR="00402074" w:rsidRPr="00D76A17" w:rsidRDefault="00402074" w:rsidP="002F425B">
      <w:pPr>
        <w:pStyle w:val="NormalWeb"/>
        <w:numPr>
          <w:ilvl w:val="0"/>
          <w:numId w:val="17"/>
        </w:numPr>
        <w:spacing w:line="480" w:lineRule="auto"/>
        <w:rPr>
          <w:rFonts w:ascii="Verdana" w:hAnsi="Verdana"/>
          <w:sz w:val="20"/>
          <w:szCs w:val="20"/>
          <w:lang w:val="sr-Latn-RS"/>
        </w:rPr>
      </w:pPr>
      <w:r w:rsidRPr="00D76A17">
        <w:rPr>
          <w:rStyle w:val="Strong"/>
          <w:rFonts w:ascii="Verdana" w:hAnsi="Verdana"/>
          <w:lang w:val="sr-Latn-RS"/>
        </w:rPr>
        <w:t>Albani</w:t>
      </w:r>
      <w:r w:rsidR="00516750">
        <w:rPr>
          <w:rStyle w:val="Strong"/>
          <w:rFonts w:ascii="Verdana" w:hAnsi="Verdana"/>
          <w:lang w:val="sr-Latn-RS"/>
        </w:rPr>
        <w:t>j</w:t>
      </w:r>
      <w:r w:rsidRPr="00D76A17">
        <w:rPr>
          <w:rStyle w:val="Strong"/>
          <w:rFonts w:ascii="Verdana" w:hAnsi="Verdana"/>
          <w:lang w:val="sr-Latn-RS"/>
        </w:rPr>
        <w:t>a</w:t>
      </w:r>
      <w:r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17" w:history="1">
        <w:r w:rsidR="00516750"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18" w:history="1">
        <w:r w:rsidR="00516750"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="008A4A2E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; </w:t>
      </w:r>
      <w:hyperlink r:id="rId19" w:history="1">
        <w:r w:rsidRPr="00D76A17">
          <w:rPr>
            <w:rStyle w:val="Hyperlink"/>
            <w:rFonts w:ascii="Verdana" w:eastAsiaTheme="minorHAnsi" w:hAnsi="Verdana"/>
            <w:lang w:val="sr-Latn-RS"/>
          </w:rPr>
          <w:t>fa</w:t>
        </w:r>
        <w:r w:rsidR="00516750">
          <w:rPr>
            <w:rStyle w:val="Hyperlink"/>
            <w:rFonts w:ascii="Verdana" w:eastAsiaTheme="minorHAnsi" w:hAnsi="Verdana"/>
            <w:lang w:val="sr-Latn-RS"/>
          </w:rPr>
          <w:t>ktografik</w:t>
        </w:r>
      </w:hyperlink>
    </w:p>
    <w:p w14:paraId="0DF68D83" w14:textId="11501BE4" w:rsidR="00402074" w:rsidRPr="00D76A17" w:rsidRDefault="00402074" w:rsidP="002F425B">
      <w:pPr>
        <w:pStyle w:val="NormalWeb"/>
        <w:numPr>
          <w:ilvl w:val="0"/>
          <w:numId w:val="17"/>
        </w:numPr>
        <w:spacing w:line="480" w:lineRule="auto"/>
        <w:rPr>
          <w:rFonts w:ascii="Verdana" w:hAnsi="Verdana"/>
          <w:sz w:val="20"/>
          <w:szCs w:val="20"/>
          <w:lang w:val="sr-Latn-RS"/>
        </w:rPr>
      </w:pPr>
      <w:r w:rsidRPr="00D76A17">
        <w:rPr>
          <w:rStyle w:val="Strong"/>
          <w:rFonts w:ascii="Verdana" w:hAnsi="Verdana"/>
          <w:lang w:val="sr-Latn-RS"/>
        </w:rPr>
        <w:t xml:space="preserve">Bosna </w:t>
      </w:r>
      <w:r w:rsidR="00516750">
        <w:rPr>
          <w:rStyle w:val="Strong"/>
          <w:rFonts w:ascii="Verdana" w:hAnsi="Verdana"/>
          <w:lang w:val="sr-Latn-RS"/>
        </w:rPr>
        <w:t>i</w:t>
      </w:r>
      <w:r w:rsidRPr="00D76A17">
        <w:rPr>
          <w:rStyle w:val="Strong"/>
          <w:rFonts w:ascii="Verdana" w:hAnsi="Verdana"/>
          <w:lang w:val="sr-Latn-RS"/>
        </w:rPr>
        <w:t xml:space="preserve"> Her</w:t>
      </w:r>
      <w:r w:rsidR="00516750">
        <w:rPr>
          <w:rStyle w:val="Strong"/>
          <w:rFonts w:ascii="Verdana" w:hAnsi="Verdana"/>
          <w:lang w:val="sr-Latn-RS"/>
        </w:rPr>
        <w:t>c</w:t>
      </w:r>
      <w:r w:rsidRPr="00D76A17">
        <w:rPr>
          <w:rStyle w:val="Strong"/>
          <w:rFonts w:ascii="Verdana" w:hAnsi="Verdana"/>
          <w:lang w:val="sr-Latn-RS"/>
        </w:rPr>
        <w:t>egovina</w:t>
      </w:r>
      <w:r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20" w:history="1">
        <w:r w:rsidR="00516750"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21" w:history="1">
        <w:r w:rsidR="00516750"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="008A4A2E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; </w:t>
      </w:r>
      <w:hyperlink r:id="rId22" w:history="1">
        <w:r w:rsidRPr="00D76A17">
          <w:rPr>
            <w:rStyle w:val="Hyperlink"/>
            <w:rFonts w:ascii="Verdana" w:eastAsiaTheme="minorHAnsi" w:hAnsi="Verdana"/>
            <w:lang w:val="sr-Latn-RS"/>
          </w:rPr>
          <w:t>fa</w:t>
        </w:r>
        <w:r w:rsidR="00516750">
          <w:rPr>
            <w:rStyle w:val="Hyperlink"/>
            <w:rFonts w:ascii="Verdana" w:eastAsiaTheme="minorHAnsi" w:hAnsi="Verdana"/>
            <w:lang w:val="sr-Latn-RS"/>
          </w:rPr>
          <w:t>k</w:t>
        </w:r>
        <w:r w:rsidRPr="00D76A17">
          <w:rPr>
            <w:rStyle w:val="Hyperlink"/>
            <w:rFonts w:ascii="Verdana" w:eastAsiaTheme="minorHAnsi" w:hAnsi="Verdana"/>
            <w:lang w:val="sr-Latn-RS"/>
          </w:rPr>
          <w:t>togra</w:t>
        </w:r>
        <w:r w:rsidR="00516750">
          <w:rPr>
            <w:rStyle w:val="Hyperlink"/>
            <w:rFonts w:ascii="Verdana" w:eastAsiaTheme="minorHAnsi" w:hAnsi="Verdana"/>
            <w:lang w:val="sr-Latn-RS"/>
          </w:rPr>
          <w:t>fik</w:t>
        </w:r>
      </w:hyperlink>
    </w:p>
    <w:p w14:paraId="469FA212" w14:textId="5FCC27F1" w:rsidR="00402074" w:rsidRPr="00D76A17" w:rsidRDefault="00402074" w:rsidP="002F425B">
      <w:pPr>
        <w:pStyle w:val="NormalWeb"/>
        <w:numPr>
          <w:ilvl w:val="0"/>
          <w:numId w:val="17"/>
        </w:numPr>
        <w:spacing w:line="480" w:lineRule="auto"/>
        <w:rPr>
          <w:rStyle w:val="Hyperlink"/>
          <w:rFonts w:ascii="Verdana" w:eastAsiaTheme="minorHAnsi" w:hAnsi="Verdana"/>
          <w:color w:val="000000"/>
          <w:lang w:val="sr-Latn-RS"/>
        </w:rPr>
      </w:pPr>
      <w:r w:rsidRPr="00D76A17">
        <w:rPr>
          <w:rStyle w:val="Strong"/>
          <w:rFonts w:ascii="Verdana" w:hAnsi="Verdana"/>
          <w:lang w:val="sr-Latn-RS"/>
        </w:rPr>
        <w:t>Kosovo</w:t>
      </w:r>
      <w:r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23" w:history="1">
        <w:r w:rsidR="00516750"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24" w:history="1">
        <w:r w:rsidR="00516750"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; </w:t>
      </w:r>
      <w:hyperlink r:id="rId25" w:history="1">
        <w:r w:rsidRPr="00D76A17">
          <w:rPr>
            <w:rStyle w:val="Hyperlink"/>
            <w:rFonts w:ascii="Verdana" w:eastAsiaTheme="minorHAnsi" w:hAnsi="Verdana"/>
            <w:lang w:val="sr-Latn-RS"/>
          </w:rPr>
          <w:t>fa</w:t>
        </w:r>
        <w:r w:rsidR="00516750">
          <w:rPr>
            <w:rStyle w:val="Hyperlink"/>
            <w:rFonts w:ascii="Verdana" w:eastAsiaTheme="minorHAnsi" w:hAnsi="Verdana"/>
            <w:lang w:val="sr-Latn-RS"/>
          </w:rPr>
          <w:t>k</w:t>
        </w:r>
        <w:r w:rsidRPr="00D76A17">
          <w:rPr>
            <w:rStyle w:val="Hyperlink"/>
            <w:rFonts w:ascii="Verdana" w:eastAsiaTheme="minorHAnsi" w:hAnsi="Verdana"/>
            <w:lang w:val="sr-Latn-RS"/>
          </w:rPr>
          <w:t>togra</w:t>
        </w:r>
        <w:r w:rsidR="00516750">
          <w:rPr>
            <w:rStyle w:val="Hyperlink"/>
            <w:rFonts w:ascii="Verdana" w:eastAsiaTheme="minorHAnsi" w:hAnsi="Verdana"/>
            <w:lang w:val="sr-Latn-RS"/>
          </w:rPr>
          <w:t>fik</w:t>
        </w:r>
      </w:hyperlink>
    </w:p>
    <w:p w14:paraId="75197151" w14:textId="59132332" w:rsidR="003B35A2" w:rsidRPr="00D76A17" w:rsidRDefault="00516750" w:rsidP="002F425B">
      <w:pPr>
        <w:pStyle w:val="NormalWeb"/>
        <w:numPr>
          <w:ilvl w:val="0"/>
          <w:numId w:val="17"/>
        </w:numPr>
        <w:spacing w:line="480" w:lineRule="auto"/>
        <w:rPr>
          <w:rFonts w:ascii="Verdana" w:hAnsi="Verdana"/>
          <w:sz w:val="20"/>
          <w:szCs w:val="20"/>
          <w:lang w:val="sr-Latn-RS"/>
        </w:rPr>
      </w:pPr>
      <w:r>
        <w:rPr>
          <w:rStyle w:val="Strong"/>
          <w:rFonts w:ascii="Verdana" w:hAnsi="Verdana"/>
          <w:lang w:val="sr-Latn-RS"/>
        </w:rPr>
        <w:t>Crna Gora</w:t>
      </w:r>
      <w:r w:rsidR="003B35A2"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26" w:history="1">
        <w:r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="003B35A2"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27" w:history="1">
        <w:r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="00B43C7E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; </w:t>
      </w:r>
      <w:hyperlink r:id="rId28" w:history="1">
        <w:r w:rsidR="00B25F5F" w:rsidRPr="00D76A17">
          <w:rPr>
            <w:rStyle w:val="Hyperlink"/>
            <w:rFonts w:ascii="Verdana" w:eastAsiaTheme="minorHAnsi" w:hAnsi="Verdana"/>
            <w:lang w:val="sr-Latn-RS"/>
          </w:rPr>
          <w:t>f</w:t>
        </w:r>
        <w:r w:rsidR="00B43C7E" w:rsidRPr="00D76A17">
          <w:rPr>
            <w:rStyle w:val="Hyperlink"/>
            <w:rFonts w:ascii="Verdana" w:eastAsiaTheme="minorHAnsi" w:hAnsi="Verdana"/>
            <w:lang w:val="sr-Latn-RS"/>
          </w:rPr>
          <w:t>a</w:t>
        </w:r>
        <w:r>
          <w:rPr>
            <w:rStyle w:val="Hyperlink"/>
            <w:rFonts w:ascii="Verdana" w:eastAsiaTheme="minorHAnsi" w:hAnsi="Verdana"/>
            <w:lang w:val="sr-Latn-RS"/>
          </w:rPr>
          <w:t>k</w:t>
        </w:r>
        <w:r w:rsidR="00B43C7E" w:rsidRPr="00D76A17">
          <w:rPr>
            <w:rStyle w:val="Hyperlink"/>
            <w:rFonts w:ascii="Verdana" w:eastAsiaTheme="minorHAnsi" w:hAnsi="Verdana"/>
            <w:lang w:val="sr-Latn-RS"/>
          </w:rPr>
          <w:t>togra</w:t>
        </w:r>
        <w:r>
          <w:rPr>
            <w:rStyle w:val="Hyperlink"/>
            <w:rFonts w:ascii="Verdana" w:eastAsiaTheme="minorHAnsi" w:hAnsi="Verdana"/>
            <w:lang w:val="sr-Latn-RS"/>
          </w:rPr>
          <w:t>fik</w:t>
        </w:r>
      </w:hyperlink>
    </w:p>
    <w:p w14:paraId="6C1D1607" w14:textId="03635D2F" w:rsidR="00402074" w:rsidRPr="00D76A17" w:rsidRDefault="00516750" w:rsidP="002F425B">
      <w:pPr>
        <w:pStyle w:val="NormalWeb"/>
        <w:numPr>
          <w:ilvl w:val="0"/>
          <w:numId w:val="17"/>
        </w:numPr>
        <w:spacing w:line="480" w:lineRule="auto"/>
        <w:rPr>
          <w:rFonts w:ascii="Verdana" w:hAnsi="Verdana"/>
          <w:sz w:val="20"/>
          <w:szCs w:val="20"/>
          <w:lang w:val="sr-Latn-RS"/>
        </w:rPr>
      </w:pPr>
      <w:r>
        <w:rPr>
          <w:rStyle w:val="Strong"/>
          <w:rFonts w:ascii="Verdana" w:hAnsi="Verdana"/>
          <w:lang w:val="sr-Latn-RS"/>
        </w:rPr>
        <w:t>Severna Makedonija</w:t>
      </w:r>
      <w:r w:rsidR="00402074"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29" w:history="1">
        <w:r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="00402074"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30" w:history="1">
        <w:r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="00402074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; </w:t>
      </w:r>
      <w:hyperlink r:id="rId31" w:history="1">
        <w:r w:rsidR="00402074" w:rsidRPr="00D76A17">
          <w:rPr>
            <w:rStyle w:val="Hyperlink"/>
            <w:rFonts w:ascii="Verdana" w:eastAsiaTheme="minorHAnsi" w:hAnsi="Verdana"/>
            <w:lang w:val="sr-Latn-RS"/>
          </w:rPr>
          <w:t>fa</w:t>
        </w:r>
        <w:r>
          <w:rPr>
            <w:rStyle w:val="Hyperlink"/>
            <w:rFonts w:ascii="Verdana" w:eastAsiaTheme="minorHAnsi" w:hAnsi="Verdana"/>
            <w:lang w:val="sr-Latn-RS"/>
          </w:rPr>
          <w:t>k</w:t>
        </w:r>
        <w:r w:rsidR="00402074" w:rsidRPr="00D76A17">
          <w:rPr>
            <w:rStyle w:val="Hyperlink"/>
            <w:rFonts w:ascii="Verdana" w:eastAsiaTheme="minorHAnsi" w:hAnsi="Verdana"/>
            <w:lang w:val="sr-Latn-RS"/>
          </w:rPr>
          <w:t>togra</w:t>
        </w:r>
        <w:r>
          <w:rPr>
            <w:rStyle w:val="Hyperlink"/>
            <w:rFonts w:ascii="Verdana" w:eastAsiaTheme="minorHAnsi" w:hAnsi="Verdana"/>
            <w:lang w:val="sr-Latn-RS"/>
          </w:rPr>
          <w:t>fik</w:t>
        </w:r>
      </w:hyperlink>
    </w:p>
    <w:p w14:paraId="32E2F012" w14:textId="2B4600D7" w:rsidR="003B35A2" w:rsidRPr="00D76A17" w:rsidRDefault="00516750" w:rsidP="002F425B">
      <w:pPr>
        <w:pStyle w:val="NormalWeb"/>
        <w:numPr>
          <w:ilvl w:val="0"/>
          <w:numId w:val="17"/>
        </w:numPr>
        <w:spacing w:line="480" w:lineRule="auto"/>
        <w:rPr>
          <w:rFonts w:ascii="Verdana" w:hAnsi="Verdana"/>
          <w:sz w:val="20"/>
          <w:szCs w:val="20"/>
          <w:lang w:val="sr-Latn-RS"/>
        </w:rPr>
      </w:pPr>
      <w:r>
        <w:rPr>
          <w:rStyle w:val="Strong"/>
          <w:rFonts w:ascii="Verdana" w:hAnsi="Verdana"/>
          <w:lang w:val="sr-Latn-RS"/>
        </w:rPr>
        <w:t>Srbija</w:t>
      </w:r>
      <w:r w:rsidR="003B35A2"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32" w:history="1">
        <w:r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="003B35A2"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33" w:history="1">
        <w:r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="00B43C7E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; </w:t>
      </w:r>
      <w:hyperlink r:id="rId34" w:history="1">
        <w:r w:rsidR="008A4A2E" w:rsidRPr="00D76A17">
          <w:rPr>
            <w:rStyle w:val="Hyperlink"/>
            <w:rFonts w:ascii="Verdana" w:eastAsiaTheme="minorHAnsi" w:hAnsi="Verdana"/>
            <w:lang w:val="sr-Latn-RS"/>
          </w:rPr>
          <w:t>f</w:t>
        </w:r>
        <w:r w:rsidR="00B43C7E" w:rsidRPr="00D76A17">
          <w:rPr>
            <w:rStyle w:val="Hyperlink"/>
            <w:rFonts w:ascii="Verdana" w:eastAsiaTheme="minorHAnsi" w:hAnsi="Verdana"/>
            <w:lang w:val="sr-Latn-RS"/>
          </w:rPr>
          <w:t>a</w:t>
        </w:r>
        <w:r>
          <w:rPr>
            <w:rStyle w:val="Hyperlink"/>
            <w:rFonts w:ascii="Verdana" w:eastAsiaTheme="minorHAnsi" w:hAnsi="Verdana"/>
            <w:lang w:val="sr-Latn-RS"/>
          </w:rPr>
          <w:t>k</w:t>
        </w:r>
        <w:r w:rsidR="00B43C7E" w:rsidRPr="00D76A17">
          <w:rPr>
            <w:rStyle w:val="Hyperlink"/>
            <w:rFonts w:ascii="Verdana" w:eastAsiaTheme="minorHAnsi" w:hAnsi="Verdana"/>
            <w:lang w:val="sr-Latn-RS"/>
          </w:rPr>
          <w:t>togra</w:t>
        </w:r>
      </w:hyperlink>
      <w:r>
        <w:rPr>
          <w:rStyle w:val="Hyperlink"/>
          <w:rFonts w:ascii="Verdana" w:eastAsiaTheme="minorHAnsi" w:hAnsi="Verdana"/>
          <w:lang w:val="sr-Latn-RS"/>
        </w:rPr>
        <w:t>fik</w:t>
      </w:r>
    </w:p>
    <w:p w14:paraId="4720C12C" w14:textId="4A3561A3" w:rsidR="008A4A2E" w:rsidRPr="00D76A17" w:rsidRDefault="003B35A2" w:rsidP="003B35A2">
      <w:pPr>
        <w:pStyle w:val="NormalWeb"/>
        <w:numPr>
          <w:ilvl w:val="0"/>
          <w:numId w:val="17"/>
        </w:numPr>
        <w:spacing w:line="480" w:lineRule="auto"/>
        <w:rPr>
          <w:rStyle w:val="Emphasis"/>
          <w:rFonts w:ascii="Verdana" w:hAnsi="Verdana"/>
          <w:i w:val="0"/>
          <w:lang w:val="sr-Latn-RS"/>
        </w:rPr>
      </w:pPr>
      <w:r w:rsidRPr="00D76A17">
        <w:rPr>
          <w:rStyle w:val="Strong"/>
          <w:rFonts w:ascii="Verdana" w:hAnsi="Verdana"/>
          <w:lang w:val="sr-Latn-RS"/>
        </w:rPr>
        <w:t>Tur</w:t>
      </w:r>
      <w:r w:rsidR="00516750">
        <w:rPr>
          <w:rStyle w:val="Strong"/>
          <w:rFonts w:ascii="Verdana" w:hAnsi="Verdana"/>
          <w:lang w:val="sr-Latn-RS"/>
        </w:rPr>
        <w:t>ska</w:t>
      </w:r>
      <w:r w:rsidRPr="00D76A17">
        <w:rPr>
          <w:rFonts w:ascii="Verdana" w:hAnsi="Verdana"/>
          <w:sz w:val="20"/>
          <w:szCs w:val="20"/>
          <w:lang w:val="sr-Latn-RS"/>
        </w:rPr>
        <w:t xml:space="preserve">: </w:t>
      </w:r>
      <w:hyperlink r:id="rId35" w:history="1">
        <w:r w:rsidR="00516750">
          <w:rPr>
            <w:rStyle w:val="Hyperlink"/>
            <w:rFonts w:ascii="Verdana" w:eastAsiaTheme="minorHAnsi" w:hAnsi="Verdana"/>
            <w:lang w:val="sr-Latn-RS"/>
          </w:rPr>
          <w:t>DOPIS</w:t>
        </w:r>
      </w:hyperlink>
      <w:r w:rsidRPr="00D76A17">
        <w:rPr>
          <w:rFonts w:ascii="Verdana" w:hAnsi="Verdana"/>
          <w:sz w:val="20"/>
          <w:szCs w:val="20"/>
          <w:lang w:val="sr-Latn-RS"/>
        </w:rPr>
        <w:t xml:space="preserve">; </w:t>
      </w:r>
      <w:hyperlink r:id="rId36" w:history="1">
        <w:r w:rsidR="00516750">
          <w:rPr>
            <w:rStyle w:val="Hyperlink"/>
            <w:rFonts w:ascii="Verdana" w:eastAsiaTheme="minorHAnsi" w:hAnsi="Verdana"/>
            <w:lang w:val="sr-Latn-RS"/>
          </w:rPr>
          <w:t>Izveštaj</w:t>
        </w:r>
      </w:hyperlink>
      <w:r w:rsidR="008A4A2E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>;</w:t>
      </w:r>
      <w:r w:rsidR="00B25F5F" w:rsidRPr="00D76A17">
        <w:rPr>
          <w:rStyle w:val="Hyperlink"/>
          <w:rFonts w:ascii="Verdana" w:eastAsiaTheme="minorHAnsi" w:hAnsi="Verdana"/>
          <w:color w:val="000000"/>
          <w:u w:val="none"/>
          <w:lang w:val="sr-Latn-RS"/>
        </w:rPr>
        <w:t xml:space="preserve"> </w:t>
      </w:r>
      <w:hyperlink r:id="rId37" w:history="1">
        <w:r w:rsidR="00B25F5F" w:rsidRPr="00D76A17">
          <w:rPr>
            <w:rStyle w:val="Hyperlink"/>
            <w:rFonts w:ascii="Verdana" w:eastAsiaTheme="minorHAnsi" w:hAnsi="Verdana"/>
            <w:lang w:val="sr-Latn-RS"/>
          </w:rPr>
          <w:t>f</w:t>
        </w:r>
        <w:r w:rsidR="00B43C7E" w:rsidRPr="00D76A17">
          <w:rPr>
            <w:rStyle w:val="Hyperlink"/>
            <w:rFonts w:ascii="Verdana" w:eastAsiaTheme="minorHAnsi" w:hAnsi="Verdana"/>
            <w:lang w:val="sr-Latn-RS"/>
          </w:rPr>
          <w:t>a</w:t>
        </w:r>
        <w:r w:rsidR="00516750">
          <w:rPr>
            <w:rStyle w:val="Hyperlink"/>
            <w:rFonts w:ascii="Verdana" w:eastAsiaTheme="minorHAnsi" w:hAnsi="Verdana"/>
            <w:lang w:val="sr-Latn-RS"/>
          </w:rPr>
          <w:t>k</w:t>
        </w:r>
        <w:r w:rsidR="00B43C7E" w:rsidRPr="00D76A17">
          <w:rPr>
            <w:rStyle w:val="Hyperlink"/>
            <w:rFonts w:ascii="Verdana" w:eastAsiaTheme="minorHAnsi" w:hAnsi="Verdana"/>
            <w:lang w:val="sr-Latn-RS"/>
          </w:rPr>
          <w:t>togra</w:t>
        </w:r>
      </w:hyperlink>
      <w:r w:rsidR="00516750">
        <w:rPr>
          <w:rStyle w:val="Hyperlink"/>
          <w:rFonts w:ascii="Verdana" w:eastAsiaTheme="minorHAnsi" w:hAnsi="Verdana"/>
          <w:lang w:val="sr-Latn-RS"/>
        </w:rPr>
        <w:t>fik</w:t>
      </w:r>
    </w:p>
    <w:p w14:paraId="4E9F9EA2" w14:textId="4D63AB68" w:rsidR="003B35A2" w:rsidRPr="00D76A17" w:rsidRDefault="00516750" w:rsidP="003B35A2">
      <w:pPr>
        <w:pStyle w:val="NormalWeb"/>
        <w:rPr>
          <w:rFonts w:ascii="Verdana" w:hAnsi="Verdana"/>
          <w:b/>
          <w:bCs/>
          <w:sz w:val="20"/>
          <w:szCs w:val="20"/>
          <w:lang w:val="sr-Latn-RS"/>
        </w:rPr>
      </w:pPr>
      <w:r>
        <w:rPr>
          <w:rStyle w:val="Emphasis"/>
          <w:rFonts w:ascii="Verdana" w:hAnsi="Verdana"/>
          <w:b/>
          <w:bCs/>
          <w:i w:val="0"/>
          <w:lang w:val="sr-Latn-RS"/>
        </w:rPr>
        <w:t>Za opštije informacije</w:t>
      </w:r>
      <w:r w:rsidR="003B35A2" w:rsidRPr="00D76A17">
        <w:rPr>
          <w:rStyle w:val="Emphasis"/>
          <w:rFonts w:ascii="Verdana" w:hAnsi="Verdana"/>
          <w:b/>
          <w:bCs/>
          <w:i w:val="0"/>
          <w:lang w:val="sr-Latn-RS"/>
        </w:rPr>
        <w:t>:</w:t>
      </w:r>
    </w:p>
    <w:p w14:paraId="5C958B09" w14:textId="1E9A3620" w:rsidR="00127380" w:rsidRPr="00D76A17" w:rsidRDefault="005560B2" w:rsidP="003B35A2">
      <w:pPr>
        <w:pStyle w:val="NormalWeb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>Komunike</w:t>
      </w:r>
      <w:r w:rsidR="00516750" w:rsidRPr="00C95916">
        <w:rPr>
          <w:rFonts w:ascii="Verdana" w:hAnsi="Verdana"/>
          <w:sz w:val="20"/>
          <w:szCs w:val="20"/>
          <w:lang w:val="sr-Latn-RS"/>
        </w:rPr>
        <w:t xml:space="preserve"> Evropske komisije iz februara 2020. o</w:t>
      </w:r>
      <w:r w:rsidR="00516750">
        <w:rPr>
          <w:rFonts w:ascii="Verdana" w:hAnsi="Verdana"/>
          <w:sz w:val="20"/>
          <w:szCs w:val="20"/>
          <w:lang w:val="sr-Latn-RS"/>
        </w:rPr>
        <w:t xml:space="preserve"> </w:t>
      </w:r>
      <w:r w:rsidR="00A33DE8" w:rsidRPr="00D76A17">
        <w:rPr>
          <w:rFonts w:ascii="Verdana" w:hAnsi="Verdana"/>
          <w:sz w:val="20"/>
          <w:szCs w:val="20"/>
          <w:lang w:val="sr-Latn-RS"/>
        </w:rPr>
        <w:t>“</w:t>
      </w:r>
      <w:hyperlink r:id="rId38" w:history="1">
        <w:r w:rsidR="00516750">
          <w:rPr>
            <w:rStyle w:val="Hyperlink"/>
            <w:rFonts w:ascii="Verdana" w:eastAsiaTheme="minorHAnsi" w:hAnsi="Verdana"/>
            <w:lang w:val="sr-Latn-RS"/>
          </w:rPr>
          <w:t>Unapređivanje procesa pristupanja</w:t>
        </w:r>
        <w:r w:rsidR="00127380" w:rsidRPr="00D76A17">
          <w:rPr>
            <w:rStyle w:val="Hyperlink"/>
            <w:rFonts w:ascii="Verdana" w:eastAsiaTheme="minorHAnsi" w:hAnsi="Verdana"/>
            <w:lang w:val="sr-Latn-RS"/>
          </w:rPr>
          <w:t xml:space="preserve"> </w:t>
        </w:r>
        <w:r w:rsidR="00516750">
          <w:rPr>
            <w:rStyle w:val="Hyperlink"/>
            <w:rFonts w:ascii="Verdana" w:eastAsiaTheme="minorHAnsi" w:hAnsi="Verdana"/>
            <w:lang w:val="sr-Latn-RS"/>
          </w:rPr>
          <w:t>–</w:t>
        </w:r>
        <w:r w:rsidR="00127380" w:rsidRPr="00D76A17">
          <w:rPr>
            <w:rStyle w:val="Hyperlink"/>
            <w:rFonts w:ascii="Verdana" w:eastAsiaTheme="minorHAnsi" w:hAnsi="Verdana"/>
            <w:lang w:val="sr-Latn-RS"/>
          </w:rPr>
          <w:t xml:space="preserve"> </w:t>
        </w:r>
        <w:r w:rsidR="00516750">
          <w:rPr>
            <w:rStyle w:val="Hyperlink"/>
            <w:rFonts w:ascii="Verdana" w:eastAsiaTheme="minorHAnsi" w:hAnsi="Verdana"/>
            <w:lang w:val="sr-Latn-RS"/>
          </w:rPr>
          <w:t>verodostojna EU perspektiva za Zapadni Balkan</w:t>
        </w:r>
      </w:hyperlink>
      <w:r w:rsidR="00A33DE8" w:rsidRPr="00D76A17">
        <w:rPr>
          <w:rStyle w:val="Hyperlink"/>
          <w:rFonts w:ascii="Verdana" w:eastAsiaTheme="minorHAnsi" w:hAnsi="Verdana"/>
          <w:lang w:val="sr-Latn-RS"/>
        </w:rPr>
        <w:t>”</w:t>
      </w:r>
    </w:p>
    <w:p w14:paraId="53958201" w14:textId="4BF81B62" w:rsidR="00EE4414" w:rsidRPr="00D76A17" w:rsidRDefault="00516750" w:rsidP="007F17AB">
      <w:pPr>
        <w:pStyle w:val="NormalWeb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>Informativni lis</w:t>
      </w:r>
      <w:r w:rsidR="00EE4414" w:rsidRPr="00D76A17">
        <w:rPr>
          <w:rFonts w:ascii="Verdana" w:hAnsi="Verdana"/>
          <w:sz w:val="20"/>
          <w:szCs w:val="20"/>
          <w:lang w:val="sr-Latn-RS"/>
        </w:rPr>
        <w:t xml:space="preserve">t </w:t>
      </w:r>
      <w:r>
        <w:rPr>
          <w:lang w:val="sr-Latn-RS"/>
        </w:rPr>
        <w:t>–</w:t>
      </w:r>
      <w:r w:rsidR="00EE4414" w:rsidRPr="00D76A17">
        <w:rPr>
          <w:lang w:val="sr-Latn-RS"/>
        </w:rPr>
        <w:t xml:space="preserve"> </w:t>
      </w:r>
      <w:hyperlink r:id="rId39" w:history="1">
        <w:r>
          <w:rPr>
            <w:rStyle w:val="Hyperlink"/>
            <w:rFonts w:ascii="Verdana" w:eastAsiaTheme="minorHAnsi" w:hAnsi="Verdana"/>
            <w:lang w:val="sr-Latn-RS"/>
          </w:rPr>
          <w:t>Pristupanje EU korak po korak</w:t>
        </w:r>
      </w:hyperlink>
    </w:p>
    <w:p w14:paraId="7003BE78" w14:textId="7F872C8A" w:rsidR="00402074" w:rsidRPr="00D76A17" w:rsidRDefault="00516750" w:rsidP="007F17AB">
      <w:pPr>
        <w:pStyle w:val="NormalWeb"/>
        <w:rPr>
          <w:rStyle w:val="Hyperlink"/>
          <w:rFonts w:ascii="Verdana" w:eastAsiaTheme="minorHAnsi" w:hAnsi="Verdana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>Informativni list</w:t>
      </w:r>
      <w:r w:rsidR="00A33DE8" w:rsidRPr="00D76A17">
        <w:rPr>
          <w:rFonts w:ascii="Verdana" w:hAnsi="Verdana"/>
          <w:sz w:val="20"/>
          <w:szCs w:val="20"/>
          <w:lang w:val="sr-Latn-RS"/>
        </w:rPr>
        <w:t xml:space="preserve"> – </w:t>
      </w:r>
      <w:hyperlink r:id="rId40" w:history="1">
        <w:r>
          <w:rPr>
            <w:rStyle w:val="Hyperlink"/>
            <w:rFonts w:ascii="Verdana" w:eastAsiaTheme="minorHAnsi" w:hAnsi="Verdana"/>
            <w:lang w:val="sr-Latn-RS"/>
          </w:rPr>
          <w:t>Proces pristupanja Zapadnog Balkana Evropskoj uniji</w:t>
        </w:r>
        <w:r w:rsidR="00A33DE8" w:rsidRPr="00D76A17">
          <w:rPr>
            <w:rStyle w:val="Hyperlink"/>
            <w:rFonts w:ascii="Verdana" w:eastAsiaTheme="minorHAnsi" w:hAnsi="Verdana"/>
            <w:lang w:val="sr-Latn-RS"/>
          </w:rPr>
          <w:t xml:space="preserve"> </w:t>
        </w:r>
      </w:hyperlink>
    </w:p>
    <w:p w14:paraId="5AAEF881" w14:textId="77777777" w:rsidR="00402074" w:rsidRPr="00D76A17" w:rsidRDefault="00402074" w:rsidP="005709CC">
      <w:pPr>
        <w:spacing w:after="120"/>
        <w:rPr>
          <w:lang w:val="sr-Latn-RS"/>
        </w:rPr>
      </w:pPr>
    </w:p>
    <w:p w14:paraId="61B524EB" w14:textId="77777777" w:rsidR="00402074" w:rsidRPr="00D76A17" w:rsidRDefault="00402074" w:rsidP="005709CC">
      <w:pPr>
        <w:spacing w:after="120"/>
        <w:rPr>
          <w:lang w:val="sr-Latn-RS"/>
        </w:rPr>
      </w:pPr>
      <w:bookmarkStart w:id="0" w:name="_GoBack"/>
      <w:bookmarkEnd w:id="0"/>
    </w:p>
    <w:sectPr w:rsidR="00402074" w:rsidRPr="00D76A17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40" w:code="9"/>
      <w:pgMar w:top="2552" w:right="1418" w:bottom="1134" w:left="1418" w:header="56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5913" w14:textId="77777777" w:rsidR="0016548C" w:rsidRDefault="0016548C">
      <w:r>
        <w:separator/>
      </w:r>
    </w:p>
  </w:endnote>
  <w:endnote w:type="continuationSeparator" w:id="0">
    <w:p w14:paraId="22BC0D83" w14:textId="77777777" w:rsidR="0016548C" w:rsidRDefault="0016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3352C" w14:textId="77777777" w:rsidR="00402074" w:rsidRDefault="00402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4FA24" w14:textId="39F60526" w:rsidR="0001553B" w:rsidRDefault="00B14CF0">
    <w:pPr>
      <w:pStyle w:val="Footer"/>
      <w:framePr w:wrap="none" w:vAnchor="text" w:hAnchor="margin" w:x="4339" w:y="1"/>
      <w:spacing w:after="120"/>
      <w:rPr>
        <w:rStyle w:val="PageNumber"/>
      </w:rPr>
    </w:pPr>
    <w:r>
      <w:fldChar w:fldCharType="begin"/>
    </w:r>
    <w:r>
      <w:instrText>PAGE  \* MERGEFORMAT</w:instrText>
    </w:r>
    <w:r>
      <w:fldChar w:fldCharType="separate"/>
    </w:r>
    <w:r w:rsidR="00F9271B" w:rsidRPr="00F9271B">
      <w:rPr>
        <w:rStyle w:val="PageNumber"/>
        <w:noProof/>
      </w:rPr>
      <w:t>5</w:t>
    </w:r>
    <w:r>
      <w:fldChar w:fldCharType="end"/>
    </w:r>
  </w:p>
  <w:p w14:paraId="010CFA71" w14:textId="77777777" w:rsidR="0001553B" w:rsidRDefault="0001553B">
    <w:pPr>
      <w:pStyle w:val="Footer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13E7" w14:textId="77777777" w:rsidR="0001553B" w:rsidRPr="00402074" w:rsidRDefault="0001553B" w:rsidP="00402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2909" w14:textId="77777777" w:rsidR="0016548C" w:rsidRDefault="0016548C">
      <w:r>
        <w:separator/>
      </w:r>
    </w:p>
  </w:footnote>
  <w:footnote w:type="continuationSeparator" w:id="0">
    <w:p w14:paraId="0EF2FA18" w14:textId="77777777" w:rsidR="0016548C" w:rsidRDefault="0016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80E64" w14:textId="77777777" w:rsidR="00402074" w:rsidRDefault="00402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4C56E" w14:textId="77777777" w:rsidR="0001553B" w:rsidRDefault="0001553B">
    <w:pPr>
      <w:pStyle w:val="Header"/>
      <w:spacing w:after="1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53D30" w14:textId="77777777" w:rsidR="0001553B" w:rsidRDefault="00B14CF0">
    <w:pPr>
      <w:pStyle w:val="Header"/>
      <w:spacing w:after="120"/>
      <w:jc w:val="center"/>
    </w:pPr>
    <w:r>
      <w:rPr>
        <w:noProof/>
        <w:lang w:val="en-US" w:eastAsia="en-US"/>
      </w:rPr>
      <w:drawing>
        <wp:anchor distT="0" distB="0" distL="114300" distR="114300" simplePos="0" relativeHeight="251624960" behindDoc="0" locked="0" layoutInCell="0" allowOverlap="1" wp14:anchorId="2C7C618E" wp14:editId="3AB7586E">
          <wp:simplePos x="0" y="0"/>
          <wp:positionH relativeFrom="column">
            <wp:align>center</wp:align>
          </wp:positionH>
          <wp:positionV relativeFrom="paragraph">
            <wp:posOffset>-5</wp:posOffset>
          </wp:positionV>
          <wp:extent cx="1953260" cy="972185"/>
          <wp:effectExtent l="0" t="0" r="9525" b="0"/>
          <wp:wrapSquare wrapText="bothSides"/>
          <wp:docPr id="4" name="Picture 2" descr="LOGO CE_Muet_quadri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private/var/mobile/Containers/Data/Application/6158F6B8-9CE5-45C1-ABC7-AE9CBF022AD2/tmp/Polaris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3895" cy="97282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</w:p>
  <w:p w14:paraId="28E936D3" w14:textId="77777777" w:rsidR="0001553B" w:rsidRDefault="0001553B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F7EE085E"/>
    <w:lvl w:ilvl="0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1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2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3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4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5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6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7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  <w:lvl w:ilvl="8">
      <w:start w:val="1"/>
      <w:numFmt w:val="decimal"/>
      <w:lvlText w:val="%1."/>
      <w:lvlJc w:val="left"/>
      <w:pPr>
        <w:tabs>
          <w:tab w:val="left" w:pos="1492"/>
        </w:tabs>
        <w:ind w:left="2212" w:hanging="360"/>
      </w:pPr>
    </w:lvl>
  </w:abstractNum>
  <w:abstractNum w:abstractNumId="1" w15:restartNumberingAfterBreak="0">
    <w:nsid w:val="2F000001"/>
    <w:multiLevelType w:val="multilevel"/>
    <w:tmpl w:val="6816A134"/>
    <w:lvl w:ilvl="0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1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2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3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4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5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6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7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  <w:lvl w:ilvl="8">
      <w:start w:val="1"/>
      <w:numFmt w:val="decimal"/>
      <w:lvlText w:val="%1."/>
      <w:lvlJc w:val="left"/>
      <w:pPr>
        <w:tabs>
          <w:tab w:val="left" w:pos="926"/>
        </w:tabs>
        <w:ind w:left="1646" w:hanging="360"/>
      </w:pPr>
    </w:lvl>
  </w:abstractNum>
  <w:abstractNum w:abstractNumId="2" w15:restartNumberingAfterBreak="0">
    <w:nsid w:val="2F000002"/>
    <w:multiLevelType w:val="hybridMultilevel"/>
    <w:tmpl w:val="2C7023D0"/>
    <w:lvl w:ilvl="0" w:tplc="8A1CE424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7748EF8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44969F04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CEE4AAF6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366531A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7EA4EB9A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1088112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8E07858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35C4F72A">
      <w:start w:val="1"/>
      <w:numFmt w:val="bullet"/>
      <w:lvlText w:val="·"/>
      <w:lvlJc w:val="left"/>
      <w:pPr>
        <w:tabs>
          <w:tab w:val="left" w:pos="1492"/>
        </w:tabs>
        <w:ind w:left="221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27BE766E"/>
    <w:lvl w:ilvl="0" w:tplc="0F6854FC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194829C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FD7E5B60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F3221194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3B6E8FC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A59489CE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0EA47C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52225A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3CBC6ECC">
      <w:start w:val="1"/>
      <w:numFmt w:val="bullet"/>
      <w:lvlText w:val="·"/>
      <w:lvlJc w:val="left"/>
      <w:pPr>
        <w:tabs>
          <w:tab w:val="left" w:pos="926"/>
        </w:tabs>
        <w:ind w:left="16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4"/>
    <w:multiLevelType w:val="multilevel"/>
    <w:tmpl w:val="D814EF9A"/>
    <w:lvl w:ilvl="0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1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2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3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4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5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6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7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  <w:lvl w:ilvl="8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</w:lvl>
  </w:abstractNum>
  <w:abstractNum w:abstractNumId="5" w15:restartNumberingAfterBreak="0">
    <w:nsid w:val="2F000005"/>
    <w:multiLevelType w:val="hybridMultilevel"/>
    <w:tmpl w:val="44EFC7F3"/>
    <w:lvl w:ilvl="0" w:tplc="031E199C">
      <w:start w:val="1"/>
      <w:numFmt w:val="bullet"/>
      <w:pStyle w:val="Tiret1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468DE74">
      <w:start w:val="1"/>
      <w:numFmt w:val="bullet"/>
      <w:lvlText w:val="o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1F43FE2">
      <w:start w:val="1"/>
      <w:numFmt w:val="bullet"/>
      <w:lvlText w:val="§"/>
      <w:lvlJc w:val="left"/>
      <w:pPr>
        <w:tabs>
          <w:tab w:val="left" w:pos="216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5F881CE">
      <w:start w:val="1"/>
      <w:numFmt w:val="bullet"/>
      <w:lvlText w:val="·"/>
      <w:lvlJc w:val="left"/>
      <w:pPr>
        <w:tabs>
          <w:tab w:val="left" w:pos="288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EDA8730">
      <w:start w:val="1"/>
      <w:numFmt w:val="bullet"/>
      <w:lvlText w:val="o"/>
      <w:lvlJc w:val="left"/>
      <w:pPr>
        <w:tabs>
          <w:tab w:val="left" w:pos="360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694E4CE">
      <w:start w:val="1"/>
      <w:numFmt w:val="bullet"/>
      <w:lvlText w:val="§"/>
      <w:lvlJc w:val="left"/>
      <w:pPr>
        <w:tabs>
          <w:tab w:val="left" w:pos="432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B065602">
      <w:start w:val="1"/>
      <w:numFmt w:val="bullet"/>
      <w:lvlText w:val="·"/>
      <w:lvlJc w:val="left"/>
      <w:pPr>
        <w:tabs>
          <w:tab w:val="left" w:pos="504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C5E87FA">
      <w:start w:val="1"/>
      <w:numFmt w:val="bullet"/>
      <w:lvlText w:val="o"/>
      <w:lvlJc w:val="left"/>
      <w:pPr>
        <w:tabs>
          <w:tab w:val="left" w:pos="576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C6659CE">
      <w:start w:val="1"/>
      <w:numFmt w:val="bullet"/>
      <w:lvlText w:val="§"/>
      <w:lvlJc w:val="left"/>
      <w:pPr>
        <w:tabs>
          <w:tab w:val="left" w:pos="648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4327C11B"/>
    <w:lvl w:ilvl="0" w:tplc="E394279E">
      <w:start w:val="1"/>
      <w:numFmt w:val="bullet"/>
      <w:pStyle w:val="Tiret2"/>
      <w:lvlText w:val="·"/>
      <w:lvlJc w:val="left"/>
      <w:pPr>
        <w:tabs>
          <w:tab w:val="left" w:pos="1429"/>
        </w:tabs>
        <w:ind w:left="214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5543032">
      <w:start w:val="1"/>
      <w:numFmt w:val="bullet"/>
      <w:lvlText w:val="o"/>
      <w:lvlJc w:val="left"/>
      <w:pPr>
        <w:tabs>
          <w:tab w:val="left" w:pos="2149"/>
        </w:tabs>
        <w:ind w:left="286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B80D18E">
      <w:start w:val="1"/>
      <w:numFmt w:val="bullet"/>
      <w:lvlText w:val="§"/>
      <w:lvlJc w:val="left"/>
      <w:pPr>
        <w:tabs>
          <w:tab w:val="left" w:pos="2869"/>
        </w:tabs>
        <w:ind w:left="358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ADE2AEA">
      <w:start w:val="1"/>
      <w:numFmt w:val="bullet"/>
      <w:lvlText w:val="·"/>
      <w:lvlJc w:val="left"/>
      <w:pPr>
        <w:tabs>
          <w:tab w:val="left" w:pos="3589"/>
        </w:tabs>
        <w:ind w:left="43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F6AE86A">
      <w:start w:val="1"/>
      <w:numFmt w:val="bullet"/>
      <w:lvlText w:val="o"/>
      <w:lvlJc w:val="left"/>
      <w:pPr>
        <w:tabs>
          <w:tab w:val="left" w:pos="4309"/>
        </w:tabs>
        <w:ind w:left="502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886F22E">
      <w:start w:val="1"/>
      <w:numFmt w:val="bullet"/>
      <w:lvlText w:val="§"/>
      <w:lvlJc w:val="left"/>
      <w:pPr>
        <w:tabs>
          <w:tab w:val="left" w:pos="5029"/>
        </w:tabs>
        <w:ind w:left="574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7665D64">
      <w:start w:val="1"/>
      <w:numFmt w:val="bullet"/>
      <w:lvlText w:val="·"/>
      <w:lvlJc w:val="left"/>
      <w:pPr>
        <w:tabs>
          <w:tab w:val="left" w:pos="5749"/>
        </w:tabs>
        <w:ind w:left="646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35058FA">
      <w:start w:val="1"/>
      <w:numFmt w:val="bullet"/>
      <w:lvlText w:val="o"/>
      <w:lvlJc w:val="left"/>
      <w:pPr>
        <w:tabs>
          <w:tab w:val="left" w:pos="6469"/>
        </w:tabs>
        <w:ind w:left="718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80C927C">
      <w:start w:val="1"/>
      <w:numFmt w:val="bullet"/>
      <w:lvlText w:val="§"/>
      <w:lvlJc w:val="left"/>
      <w:pPr>
        <w:tabs>
          <w:tab w:val="left" w:pos="7189"/>
        </w:tabs>
        <w:ind w:left="790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602E078B"/>
    <w:multiLevelType w:val="multilevel"/>
    <w:tmpl w:val="2962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D3623"/>
    <w:multiLevelType w:val="hybridMultilevel"/>
    <w:tmpl w:val="2B165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41E45"/>
    <w:multiLevelType w:val="hybridMultilevel"/>
    <w:tmpl w:val="70760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949A1"/>
    <w:multiLevelType w:val="hybridMultilevel"/>
    <w:tmpl w:val="F476D430"/>
    <w:lvl w:ilvl="0" w:tplc="95FC86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F5A05"/>
    <w:multiLevelType w:val="hybridMultilevel"/>
    <w:tmpl w:val="53CE8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6"/>
  </w:num>
  <w:num w:numId="14">
    <w:abstractNumId w:val="5"/>
  </w:num>
  <w:num w:numId="15">
    <w:abstractNumId w:val="9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1553B"/>
    <w:rsid w:val="000067BF"/>
    <w:rsid w:val="0001553B"/>
    <w:rsid w:val="00056A3D"/>
    <w:rsid w:val="00057149"/>
    <w:rsid w:val="00071A93"/>
    <w:rsid w:val="00084BA1"/>
    <w:rsid w:val="00096CFE"/>
    <w:rsid w:val="000A2EDB"/>
    <w:rsid w:val="000B2543"/>
    <w:rsid w:val="000B5ED0"/>
    <w:rsid w:val="000B6CDA"/>
    <w:rsid w:val="000B7860"/>
    <w:rsid w:val="000C1457"/>
    <w:rsid w:val="000C16E2"/>
    <w:rsid w:val="000C7575"/>
    <w:rsid w:val="000C7B17"/>
    <w:rsid w:val="000D7767"/>
    <w:rsid w:val="000E248C"/>
    <w:rsid w:val="000F108A"/>
    <w:rsid w:val="000F30D9"/>
    <w:rsid w:val="000F4EE1"/>
    <w:rsid w:val="00113638"/>
    <w:rsid w:val="00120721"/>
    <w:rsid w:val="00127380"/>
    <w:rsid w:val="00133CC6"/>
    <w:rsid w:val="00160A54"/>
    <w:rsid w:val="0016548C"/>
    <w:rsid w:val="00185A83"/>
    <w:rsid w:val="001A0C03"/>
    <w:rsid w:val="001C5FAF"/>
    <w:rsid w:val="001D0BBC"/>
    <w:rsid w:val="001D6F72"/>
    <w:rsid w:val="001F4453"/>
    <w:rsid w:val="001F544F"/>
    <w:rsid w:val="00200734"/>
    <w:rsid w:val="00212758"/>
    <w:rsid w:val="002528B5"/>
    <w:rsid w:val="00253028"/>
    <w:rsid w:val="002615D0"/>
    <w:rsid w:val="00286DDD"/>
    <w:rsid w:val="002A008C"/>
    <w:rsid w:val="002B5CE0"/>
    <w:rsid w:val="002B62FF"/>
    <w:rsid w:val="002C3A64"/>
    <w:rsid w:val="002D7264"/>
    <w:rsid w:val="002F425B"/>
    <w:rsid w:val="00336505"/>
    <w:rsid w:val="00356906"/>
    <w:rsid w:val="00357A2C"/>
    <w:rsid w:val="00357BD8"/>
    <w:rsid w:val="00360080"/>
    <w:rsid w:val="00365219"/>
    <w:rsid w:val="00365B8D"/>
    <w:rsid w:val="00370620"/>
    <w:rsid w:val="0039172F"/>
    <w:rsid w:val="003B2AA1"/>
    <w:rsid w:val="003B35A2"/>
    <w:rsid w:val="003B62D5"/>
    <w:rsid w:val="003B6925"/>
    <w:rsid w:val="003C747F"/>
    <w:rsid w:val="003C7DA4"/>
    <w:rsid w:val="003D5D18"/>
    <w:rsid w:val="003E1CF4"/>
    <w:rsid w:val="003F357D"/>
    <w:rsid w:val="004015DA"/>
    <w:rsid w:val="00402074"/>
    <w:rsid w:val="00410514"/>
    <w:rsid w:val="004110AB"/>
    <w:rsid w:val="00440618"/>
    <w:rsid w:val="00445599"/>
    <w:rsid w:val="004475CC"/>
    <w:rsid w:val="00456B28"/>
    <w:rsid w:val="00460A09"/>
    <w:rsid w:val="00463B05"/>
    <w:rsid w:val="0046683D"/>
    <w:rsid w:val="00467907"/>
    <w:rsid w:val="0047274B"/>
    <w:rsid w:val="00496424"/>
    <w:rsid w:val="004A7A3E"/>
    <w:rsid w:val="004F6187"/>
    <w:rsid w:val="00503450"/>
    <w:rsid w:val="00507C01"/>
    <w:rsid w:val="00516750"/>
    <w:rsid w:val="00522AF7"/>
    <w:rsid w:val="005247A7"/>
    <w:rsid w:val="00527C73"/>
    <w:rsid w:val="00545F18"/>
    <w:rsid w:val="005560B2"/>
    <w:rsid w:val="005709CC"/>
    <w:rsid w:val="00575825"/>
    <w:rsid w:val="00581743"/>
    <w:rsid w:val="00584832"/>
    <w:rsid w:val="005917FB"/>
    <w:rsid w:val="00591861"/>
    <w:rsid w:val="0059670F"/>
    <w:rsid w:val="005C618E"/>
    <w:rsid w:val="005D24B1"/>
    <w:rsid w:val="00606172"/>
    <w:rsid w:val="006130DD"/>
    <w:rsid w:val="00613666"/>
    <w:rsid w:val="006244C0"/>
    <w:rsid w:val="00641071"/>
    <w:rsid w:val="006538F0"/>
    <w:rsid w:val="00657504"/>
    <w:rsid w:val="00666E77"/>
    <w:rsid w:val="00670177"/>
    <w:rsid w:val="00685093"/>
    <w:rsid w:val="00686606"/>
    <w:rsid w:val="00691460"/>
    <w:rsid w:val="0069556A"/>
    <w:rsid w:val="006B3D3B"/>
    <w:rsid w:val="006D20DA"/>
    <w:rsid w:val="006D507E"/>
    <w:rsid w:val="00702CBB"/>
    <w:rsid w:val="007065E8"/>
    <w:rsid w:val="00721717"/>
    <w:rsid w:val="00743D2B"/>
    <w:rsid w:val="0075072A"/>
    <w:rsid w:val="00753916"/>
    <w:rsid w:val="007703C7"/>
    <w:rsid w:val="00776DEF"/>
    <w:rsid w:val="007808FA"/>
    <w:rsid w:val="007867F9"/>
    <w:rsid w:val="007D02C7"/>
    <w:rsid w:val="007D0859"/>
    <w:rsid w:val="007D56C5"/>
    <w:rsid w:val="007E413D"/>
    <w:rsid w:val="007F17AB"/>
    <w:rsid w:val="007F6C17"/>
    <w:rsid w:val="00804494"/>
    <w:rsid w:val="00806428"/>
    <w:rsid w:val="00812EC2"/>
    <w:rsid w:val="008458B5"/>
    <w:rsid w:val="00855312"/>
    <w:rsid w:val="008646FC"/>
    <w:rsid w:val="00875597"/>
    <w:rsid w:val="00886779"/>
    <w:rsid w:val="00887535"/>
    <w:rsid w:val="008A4A2E"/>
    <w:rsid w:val="008A67A5"/>
    <w:rsid w:val="008B12BE"/>
    <w:rsid w:val="008C5586"/>
    <w:rsid w:val="008E2C32"/>
    <w:rsid w:val="008E66E8"/>
    <w:rsid w:val="008E7DEB"/>
    <w:rsid w:val="008F73B2"/>
    <w:rsid w:val="00921669"/>
    <w:rsid w:val="00931A89"/>
    <w:rsid w:val="009418E9"/>
    <w:rsid w:val="00953C43"/>
    <w:rsid w:val="00956926"/>
    <w:rsid w:val="009616DC"/>
    <w:rsid w:val="0097433A"/>
    <w:rsid w:val="009957EE"/>
    <w:rsid w:val="009C61DE"/>
    <w:rsid w:val="009F4CAB"/>
    <w:rsid w:val="009F7C37"/>
    <w:rsid w:val="00A009EC"/>
    <w:rsid w:val="00A040E7"/>
    <w:rsid w:val="00A103F9"/>
    <w:rsid w:val="00A13FFD"/>
    <w:rsid w:val="00A33DE8"/>
    <w:rsid w:val="00A46464"/>
    <w:rsid w:val="00A5263D"/>
    <w:rsid w:val="00A528D6"/>
    <w:rsid w:val="00AA2DDC"/>
    <w:rsid w:val="00AA4D60"/>
    <w:rsid w:val="00AB2D84"/>
    <w:rsid w:val="00AB2E0F"/>
    <w:rsid w:val="00AB3B3A"/>
    <w:rsid w:val="00AC419A"/>
    <w:rsid w:val="00AC48B8"/>
    <w:rsid w:val="00AC7FB7"/>
    <w:rsid w:val="00AE106D"/>
    <w:rsid w:val="00AF2A6C"/>
    <w:rsid w:val="00B14CF0"/>
    <w:rsid w:val="00B154DD"/>
    <w:rsid w:val="00B25F5F"/>
    <w:rsid w:val="00B3000A"/>
    <w:rsid w:val="00B32351"/>
    <w:rsid w:val="00B37232"/>
    <w:rsid w:val="00B37992"/>
    <w:rsid w:val="00B41140"/>
    <w:rsid w:val="00B42991"/>
    <w:rsid w:val="00B43C7E"/>
    <w:rsid w:val="00B46C50"/>
    <w:rsid w:val="00B46EE6"/>
    <w:rsid w:val="00B57845"/>
    <w:rsid w:val="00B61C9F"/>
    <w:rsid w:val="00B62029"/>
    <w:rsid w:val="00B64568"/>
    <w:rsid w:val="00B702BA"/>
    <w:rsid w:val="00B77E9E"/>
    <w:rsid w:val="00B812BD"/>
    <w:rsid w:val="00B86DA7"/>
    <w:rsid w:val="00B93FD8"/>
    <w:rsid w:val="00BA1F97"/>
    <w:rsid w:val="00BA3BD7"/>
    <w:rsid w:val="00BE1A75"/>
    <w:rsid w:val="00C0777C"/>
    <w:rsid w:val="00C165BA"/>
    <w:rsid w:val="00C21170"/>
    <w:rsid w:val="00C21A7E"/>
    <w:rsid w:val="00C26BF4"/>
    <w:rsid w:val="00C30C72"/>
    <w:rsid w:val="00C41726"/>
    <w:rsid w:val="00C425C3"/>
    <w:rsid w:val="00C4376D"/>
    <w:rsid w:val="00C441B3"/>
    <w:rsid w:val="00C60669"/>
    <w:rsid w:val="00C6769F"/>
    <w:rsid w:val="00C70A87"/>
    <w:rsid w:val="00C93F1B"/>
    <w:rsid w:val="00C943FD"/>
    <w:rsid w:val="00C95FA3"/>
    <w:rsid w:val="00CA137A"/>
    <w:rsid w:val="00CA61C6"/>
    <w:rsid w:val="00CB7397"/>
    <w:rsid w:val="00CC023E"/>
    <w:rsid w:val="00CC460C"/>
    <w:rsid w:val="00CE25F9"/>
    <w:rsid w:val="00CF4E53"/>
    <w:rsid w:val="00D03584"/>
    <w:rsid w:val="00D1057C"/>
    <w:rsid w:val="00D326B8"/>
    <w:rsid w:val="00D35E31"/>
    <w:rsid w:val="00D41362"/>
    <w:rsid w:val="00D42A48"/>
    <w:rsid w:val="00D456D7"/>
    <w:rsid w:val="00D51923"/>
    <w:rsid w:val="00D62D4C"/>
    <w:rsid w:val="00D70967"/>
    <w:rsid w:val="00D76A17"/>
    <w:rsid w:val="00D9053C"/>
    <w:rsid w:val="00D921DC"/>
    <w:rsid w:val="00D97814"/>
    <w:rsid w:val="00DB11E6"/>
    <w:rsid w:val="00DB3C45"/>
    <w:rsid w:val="00DB4875"/>
    <w:rsid w:val="00E21F13"/>
    <w:rsid w:val="00E40F70"/>
    <w:rsid w:val="00E53940"/>
    <w:rsid w:val="00E60431"/>
    <w:rsid w:val="00E74F93"/>
    <w:rsid w:val="00E916D3"/>
    <w:rsid w:val="00ED3B91"/>
    <w:rsid w:val="00EE035A"/>
    <w:rsid w:val="00EE4414"/>
    <w:rsid w:val="00EF1199"/>
    <w:rsid w:val="00F10725"/>
    <w:rsid w:val="00F139DF"/>
    <w:rsid w:val="00F33F7F"/>
    <w:rsid w:val="00F50E7C"/>
    <w:rsid w:val="00F547C6"/>
    <w:rsid w:val="00F657BF"/>
    <w:rsid w:val="00F6588D"/>
    <w:rsid w:val="00F67AAD"/>
    <w:rsid w:val="00F9271B"/>
    <w:rsid w:val="00F9648C"/>
    <w:rsid w:val="00FA1A1F"/>
    <w:rsid w:val="00FC3D4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61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ind w:right="57"/>
      <w:jc w:val="both"/>
    </w:pPr>
    <w:rPr>
      <w:rFonts w:ascii="Verdana" w:eastAsia="Verdana" w:hAnsi="Verdana"/>
      <w:spacing w:val="-2"/>
    </w:rPr>
  </w:style>
  <w:style w:type="paragraph" w:styleId="Heading1">
    <w:name w:val="heading 1"/>
    <w:basedOn w:val="Normal"/>
    <w:uiPriority w:val="7"/>
    <w:qFormat/>
    <w:pPr>
      <w:keepNext/>
      <w:outlineLvl w:val="0"/>
    </w:pPr>
    <w:rPr>
      <w:rFonts w:ascii="Arial" w:eastAsia="Arial" w:hAnsi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w w:val="100"/>
      <w:sz w:val="20"/>
      <w:szCs w:val="20"/>
      <w:shd w:val="clear" w:color="auto" w:fill="auto"/>
    </w:rPr>
  </w:style>
  <w:style w:type="character" w:styleId="Strong">
    <w:name w:val="Strong"/>
    <w:basedOn w:val="DefaultParagraphFont"/>
    <w:uiPriority w:val="22"/>
    <w:qFormat/>
    <w:rPr>
      <w:b/>
      <w:w w:val="100"/>
      <w:sz w:val="20"/>
      <w:szCs w:val="20"/>
      <w:shd w:val="clear" w:color="auto" w:fill="auto"/>
    </w:rPr>
  </w:style>
  <w:style w:type="table" w:styleId="TableGrid">
    <w:name w:val="Table Grid"/>
    <w:basedOn w:val="TableNormal"/>
    <w:uiPriority w:val="3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3Titre">
    <w:name w:val="3 Titre"/>
    <w:basedOn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</w:pPr>
    <w:rPr>
      <w:b/>
      <w:sz w:val="28"/>
      <w:szCs w:val="28"/>
    </w:rPr>
  </w:style>
  <w:style w:type="paragraph" w:customStyle="1" w:styleId="2Date">
    <w:name w:val="2 Date"/>
    <w:basedOn w:val="Normal"/>
    <w:next w:val="3Titre"/>
    <w:link w:val="2DateCharChar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  <w:jc w:val="right"/>
    </w:pPr>
  </w:style>
  <w:style w:type="character" w:customStyle="1" w:styleId="2DateCharChar">
    <w:name w:val="2 Date Char Char"/>
    <w:link w:val="2Date"/>
    <w:rPr>
      <w:rFonts w:ascii="Verdana" w:eastAsia="Verdana" w:hAnsi="Verdana"/>
      <w:w w:val="100"/>
      <w:sz w:val="20"/>
      <w:szCs w:val="20"/>
      <w:shd w:val="clear" w:color="auto" w:fill="auto"/>
    </w:rPr>
  </w:style>
  <w:style w:type="paragraph" w:customStyle="1" w:styleId="EuropeanCommissionPR">
    <w:name w:val="EuropeanCommissionPR"/>
    <w:basedOn w:val="Normal"/>
    <w:link w:val="EuropeanCommissionPRCharChar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  <w:jc w:val="center"/>
    </w:pPr>
    <w:rPr>
      <w:rFonts w:ascii="Arial" w:eastAsia="Arial" w:hAnsi="Arial"/>
      <w:b/>
      <w:smallCaps/>
      <w:sz w:val="24"/>
      <w:szCs w:val="24"/>
    </w:rPr>
  </w:style>
  <w:style w:type="character" w:customStyle="1" w:styleId="EuropeanCommissionPRCharChar">
    <w:name w:val="EuropeanCommissionPR Char Char"/>
    <w:link w:val="EuropeanCommissionPR"/>
    <w:rPr>
      <w:rFonts w:ascii="Verdana" w:eastAsia="Arial" w:hAnsi="Verdana"/>
      <w:b/>
      <w:smallCaps/>
      <w:w w:val="100"/>
      <w:sz w:val="24"/>
      <w:szCs w:val="24"/>
      <w:shd w:val="clear" w:color="auto" w:fill="auto"/>
    </w:rPr>
  </w:style>
  <w:style w:type="paragraph" w:customStyle="1" w:styleId="5Normal">
    <w:name w:val="5 Normal"/>
    <w:basedOn w:val="Normal"/>
    <w:link w:val="5NormalChar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</w:pPr>
  </w:style>
  <w:style w:type="character" w:customStyle="1" w:styleId="5NormalChar">
    <w:name w:val="5 Normal Char"/>
    <w:link w:val="5Normal"/>
    <w:rPr>
      <w:rFonts w:ascii="Verdana" w:eastAsia="Verdana" w:hAnsi="Verdana"/>
      <w:spacing w:val="-2"/>
      <w:w w:val="100"/>
      <w:sz w:val="20"/>
      <w:szCs w:val="20"/>
      <w:shd w:val="clear" w:color="auto" w:fill="auto"/>
    </w:rPr>
  </w:style>
  <w:style w:type="paragraph" w:customStyle="1" w:styleId="Sous-titre1">
    <w:name w:val="Sous-titre 1"/>
    <w:basedOn w:val="Normal"/>
    <w:next w:val="5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</w:pPr>
    <w:rPr>
      <w:b/>
      <w:sz w:val="24"/>
      <w:szCs w:val="24"/>
    </w:rPr>
  </w:style>
  <w:style w:type="character" w:styleId="Hyperlink">
    <w:name w:val="Hyperlink"/>
    <w:rPr>
      <w:rFonts w:ascii="Arial" w:eastAsia="Times New Roman" w:hAnsi="Arial"/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1NNote">
    <w:name w:val="1 N° Note"/>
    <w:basedOn w:val="Normal"/>
    <w:pPr>
      <w:jc w:val="right"/>
    </w:pPr>
    <w:rPr>
      <w:b/>
      <w:caps/>
    </w:rPr>
  </w:style>
  <w:style w:type="paragraph" w:customStyle="1" w:styleId="4Chapeau">
    <w:name w:val="4 Chapeau"/>
    <w:basedOn w:val="Normal"/>
    <w:next w:val="5Normal"/>
    <w:rPr>
      <w:b/>
      <w:i/>
    </w:rPr>
  </w:style>
  <w:style w:type="paragraph" w:customStyle="1" w:styleId="ECHeadings">
    <w:name w:val="EC Headings"/>
    <w:basedOn w:val="EuropeanCommissionPR"/>
    <w:rPr>
      <w:sz w:val="20"/>
      <w:szCs w:val="20"/>
    </w:rPr>
  </w:style>
  <w:style w:type="character" w:styleId="FollowedHyperlink">
    <w:name w:val="FollowedHyperlink"/>
    <w:rPr>
      <w:color w:val="800080"/>
      <w:w w:val="100"/>
      <w:sz w:val="20"/>
      <w:szCs w:val="20"/>
      <w:u w:val="single"/>
      <w:shd w:val="clear" w:color="auto" w:fill="auto"/>
    </w:rPr>
  </w:style>
  <w:style w:type="paragraph" w:customStyle="1" w:styleId="Tiret1">
    <w:name w:val="Tiret 1"/>
    <w:basedOn w:val="5Normal"/>
    <w:next w:val="5Normal"/>
    <w:pPr>
      <w:numPr>
        <w:numId w:val="11"/>
      </w:numPr>
      <w:ind w:left="0" w:firstLine="0"/>
    </w:pPr>
  </w:style>
  <w:style w:type="paragraph" w:customStyle="1" w:styleId="Tiret2">
    <w:name w:val="Tiret 2"/>
    <w:basedOn w:val="Normal"/>
    <w:pPr>
      <w:numPr>
        <w:numId w:val="12"/>
      </w:numPr>
      <w:ind w:left="0" w:firstLine="0"/>
    </w:pPr>
  </w:style>
  <w:style w:type="paragraph" w:customStyle="1" w:styleId="Tiret3">
    <w:name w:val="Tiret 3"/>
    <w:basedOn w:val="5Normal"/>
    <w:pPr>
      <w:tabs>
        <w:tab w:val="clear" w:pos="1418"/>
        <w:tab w:val="left" w:pos="1429"/>
      </w:tabs>
    </w:pPr>
  </w:style>
  <w:style w:type="paragraph" w:customStyle="1" w:styleId="Texte1">
    <w:name w:val="Texte 1"/>
    <w:basedOn w:val="5Normal"/>
    <w:pPr>
      <w:ind w:left="357"/>
    </w:pPr>
  </w:style>
  <w:style w:type="paragraph" w:customStyle="1" w:styleId="Texte2">
    <w:name w:val="Texte 2"/>
    <w:basedOn w:val="5Normal"/>
    <w:pPr>
      <w:ind w:left="646"/>
    </w:pPr>
  </w:style>
  <w:style w:type="paragraph" w:customStyle="1" w:styleId="Texte3">
    <w:name w:val="Texte 3"/>
    <w:basedOn w:val="5Normal"/>
    <w:pPr>
      <w:ind w:left="1072"/>
    </w:pPr>
  </w:style>
  <w:style w:type="paragraph" w:customStyle="1" w:styleId="Sous-titre2">
    <w:name w:val="Sous-titre 2"/>
    <w:basedOn w:val="Sous-titre1"/>
    <w:next w:val="Texte2"/>
    <w:pPr>
      <w:ind w:left="284"/>
    </w:pPr>
  </w:style>
  <w:style w:type="paragraph" w:customStyle="1" w:styleId="Sous-titre3">
    <w:name w:val="Sous-titre 3"/>
    <w:basedOn w:val="Sous-titre1"/>
    <w:next w:val="Texte3"/>
    <w:pPr>
      <w:ind w:left="567"/>
    </w:pPr>
  </w:style>
  <w:style w:type="paragraph" w:customStyle="1" w:styleId="DocumentFooter">
    <w:name w:val="Document Footer"/>
    <w:basedOn w:val="Normal"/>
    <w:link w:val="DocumentFooterChar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</w:tabs>
      <w:jc w:val="right"/>
    </w:pPr>
    <w:rPr>
      <w:rFonts w:ascii="Arial" w:eastAsia="Arial" w:hAnsi="Arial"/>
      <w:b/>
      <w:caps/>
    </w:rPr>
  </w:style>
  <w:style w:type="character" w:customStyle="1" w:styleId="DocumentFooterChar">
    <w:name w:val="Document Footer Char"/>
    <w:link w:val="DocumentFooter"/>
    <w:rPr>
      <w:rFonts w:ascii="Verdana" w:eastAsia="Arial" w:hAnsi="Verdana"/>
      <w:b/>
      <w:caps/>
      <w:w w:val="100"/>
      <w:sz w:val="20"/>
      <w:szCs w:val="20"/>
      <w:shd w:val="clear" w:color="auto" w:fill="auto"/>
    </w:rPr>
  </w:style>
  <w:style w:type="character" w:customStyle="1" w:styleId="FooterChar">
    <w:name w:val="Footer Char"/>
    <w:link w:val="Footer"/>
    <w:rPr>
      <w:rFonts w:ascii="Verdana" w:eastAsia="Verdana" w:hAnsi="Verdana"/>
      <w:spacing w:val="-2"/>
      <w:w w:val="100"/>
      <w:sz w:val="20"/>
      <w:szCs w:val="20"/>
      <w:shd w:val="clear" w:color="auto" w:fill="auto"/>
    </w:rPr>
  </w:style>
  <w:style w:type="character" w:styleId="PageNumber">
    <w:name w:val="page number"/>
    <w:rPr>
      <w:rFonts w:ascii="Verdana" w:eastAsia="Verdana" w:hAnsi="Verdana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egoe UI" w:hAnsi="Segoe UI"/>
      <w:spacing w:val="-2"/>
      <w:w w:val="100"/>
      <w:sz w:val="18"/>
      <w:szCs w:val="18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w w:val="100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rFonts w:ascii="Verdana" w:eastAsia="Verdana" w:hAnsi="Verdana"/>
      <w:spacing w:val="-2"/>
      <w:w w:val="100"/>
      <w:sz w:val="20"/>
      <w:szCs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Verdana" w:eastAsia="Verdana" w:hAnsi="Verdana"/>
      <w:b/>
      <w:spacing w:val="-2"/>
      <w:w w:val="100"/>
      <w:sz w:val="20"/>
      <w:szCs w:val="20"/>
      <w:shd w:val="clear" w:color="auto" w:fill="auto"/>
    </w:rPr>
  </w:style>
  <w:style w:type="character" w:styleId="HTMLCite">
    <w:name w:val="HTML Cite"/>
    <w:basedOn w:val="DefaultParagraphFont"/>
    <w:semiHidden/>
    <w:unhideWhenUsed/>
    <w:rPr>
      <w:i/>
      <w:w w:val="100"/>
      <w:sz w:val="20"/>
      <w:szCs w:val="20"/>
      <w:shd w:val="clear" w:color="auto" w:fill="auto"/>
    </w:rPr>
  </w:style>
  <w:style w:type="paragraph" w:customStyle="1" w:styleId="Default">
    <w:name w:val="Default"/>
    <w:basedOn w:val="Normal"/>
    <w:link w:val="DefaultChar"/>
    <w:rsid w:val="00336505"/>
    <w:pPr>
      <w:autoSpaceDE w:val="0"/>
      <w:autoSpaceDN w:val="0"/>
      <w:ind w:right="0"/>
      <w:jc w:val="left"/>
    </w:pPr>
    <w:rPr>
      <w:rFonts w:ascii="Symbol" w:eastAsiaTheme="minorHAnsi" w:hAnsi="Symbol"/>
      <w:color w:val="000000"/>
      <w:spacing w:val="0"/>
      <w:sz w:val="24"/>
      <w:szCs w:val="24"/>
    </w:rPr>
  </w:style>
  <w:style w:type="character" w:customStyle="1" w:styleId="DefaultChar">
    <w:name w:val="Default Char"/>
    <w:link w:val="Default"/>
    <w:locked/>
    <w:rsid w:val="00336505"/>
    <w:rPr>
      <w:rFonts w:ascii="Symbol" w:eastAsiaTheme="minorHAnsi" w:hAnsi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6505"/>
    <w:pPr>
      <w:spacing w:before="100" w:beforeAutospacing="1" w:after="100" w:afterAutospacing="1"/>
      <w:ind w:right="0"/>
      <w:jc w:val="left"/>
    </w:pPr>
    <w:rPr>
      <w:rFonts w:ascii="Times New Roman" w:eastAsiaTheme="minorHAnsi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505"/>
    <w:pPr>
      <w:ind w:left="720" w:right="0"/>
      <w:jc w:val="left"/>
    </w:pPr>
    <w:rPr>
      <w:rFonts w:ascii="Calibri" w:eastAsiaTheme="minorHAnsi" w:hAnsi="Calibri" w:cs="Calibri"/>
      <w:spacing w:val="0"/>
      <w:sz w:val="22"/>
      <w:szCs w:val="22"/>
    </w:rPr>
  </w:style>
  <w:style w:type="paragraph" w:styleId="Revision">
    <w:name w:val="Revision"/>
    <w:hidden/>
    <w:uiPriority w:val="99"/>
    <w:semiHidden/>
    <w:rsid w:val="009418E9"/>
    <w:rPr>
      <w:rFonts w:ascii="Verdana" w:eastAsia="Verdana" w:hAnsi="Verdana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neighbourhood-enlargement/document/download/c9f70a09-5a77-42b6-88fb-e82d798f0c9e_en" TargetMode="External"/><Relationship Id="rId18" Type="http://schemas.openxmlformats.org/officeDocument/2006/relationships/hyperlink" Target="https://ec.europa.eu/neighbourhood-enlargement/albania-report-2021_en" TargetMode="External"/><Relationship Id="rId26" Type="http://schemas.openxmlformats.org/officeDocument/2006/relationships/hyperlink" Target="https://ec.europa.eu/commission/presscorner/detail/en/qanda_21_5279" TargetMode="External"/><Relationship Id="rId39" Type="http://schemas.openxmlformats.org/officeDocument/2006/relationships/hyperlink" Target="https://ec.europa.eu/neighbourhood-enlargement/system/files/2021-10/eu_accession_process_clusters.pdf" TargetMode="External"/><Relationship Id="rId21" Type="http://schemas.openxmlformats.org/officeDocument/2006/relationships/hyperlink" Target="https://ec.europa.eu/neighbourhood-enlargement/bosnia-and-herzegovina-report-2021_en" TargetMode="External"/><Relationship Id="rId34" Type="http://schemas.openxmlformats.org/officeDocument/2006/relationships/hyperlink" Target="https://ec.europa.eu/neighbourhood-enlargement/document/download/3df06159-335d-49b3-b201-4168a333906f_en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c.europa.eu/neighbourhood-enlargement/2021-communication-eu-enlargement-policy_en" TargetMode="External"/><Relationship Id="rId29" Type="http://schemas.openxmlformats.org/officeDocument/2006/relationships/hyperlink" Target="https://ec.europa.eu/commission/presscorner/detail/en/qanda_21_52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neighbourhood-enlargement/sites/default/files/near_factograph_the_former_yugoslav_republic_of_macedonia.pdf" TargetMode="External"/><Relationship Id="rId24" Type="http://schemas.openxmlformats.org/officeDocument/2006/relationships/hyperlink" Target="https://ec.europa.eu/neighbourhood-enlargement/kosovo-report-2021_en" TargetMode="External"/><Relationship Id="rId32" Type="http://schemas.openxmlformats.org/officeDocument/2006/relationships/hyperlink" Target="https://ec.europa.eu/commission/presscorner/detail/en/qanda_21_5281" TargetMode="External"/><Relationship Id="rId37" Type="http://schemas.openxmlformats.org/officeDocument/2006/relationships/hyperlink" Target="https://ec.europa.eu/neighbourhood-enlargement/document/download/efcefba0-166c-4bad-a68b-9b9a1bf14d4e_en" TargetMode="External"/><Relationship Id="rId40" Type="http://schemas.openxmlformats.org/officeDocument/2006/relationships/hyperlink" Target="https://ec.europa.eu/neighbourhood-enlargement/document/download/97d72adb-6eb5-4fda-b176-0b07350c1232_en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neighbourhood-enlargement/document/download/ef0547a9-c063-4225-b1b4-93ff9027d0c0_en" TargetMode="External"/><Relationship Id="rId23" Type="http://schemas.openxmlformats.org/officeDocument/2006/relationships/hyperlink" Target="https://ec.europa.eu/commission/presscorner/detail/en/qanda_21_5278" TargetMode="External"/><Relationship Id="rId28" Type="http://schemas.openxmlformats.org/officeDocument/2006/relationships/hyperlink" Target="https://ec.europa.eu/neighbourhood-enlargement/document/download/52f830cf-df8f-4de5-8b1c-cb6aa0520dfb_en" TargetMode="External"/><Relationship Id="rId36" Type="http://schemas.openxmlformats.org/officeDocument/2006/relationships/hyperlink" Target="https://ec.europa.eu/neighbourhood-enlargement/turkey-report-2021_en" TargetMode="External"/><Relationship Id="rId10" Type="http://schemas.openxmlformats.org/officeDocument/2006/relationships/hyperlink" Target="https://ec.europa.eu/neighbourhood-enlargement/document/download/3df06159-335d-49b3-b201-4168a333906f_en" TargetMode="External"/><Relationship Id="rId19" Type="http://schemas.openxmlformats.org/officeDocument/2006/relationships/hyperlink" Target="https://ec.europa.eu/neighbourhood-enlargement/document/download/a8e26bbb-ada8-4b61-ba63-ccfce93103e8_en" TargetMode="External"/><Relationship Id="rId31" Type="http://schemas.openxmlformats.org/officeDocument/2006/relationships/hyperlink" Target="https://ec.europa.eu/neighbourhood-enlargement/document/download/031b4b4e-1039-4510-a498-91a629c3d44f_en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c.europa.eu/neighbourhood-enlargement/document/download/efcefba0-166c-4bad-a68b-9b9a1bf14d4e_en" TargetMode="External"/><Relationship Id="rId14" Type="http://schemas.openxmlformats.org/officeDocument/2006/relationships/hyperlink" Target="https://ec.europa.eu/neighbourhood-enlargement/document/download/466234d5-0f60-4148-a04a-31736df75b34_en" TargetMode="External"/><Relationship Id="rId22" Type="http://schemas.openxmlformats.org/officeDocument/2006/relationships/hyperlink" Target="https://ec.europa.eu/neighbourhood-enlargement/document/download/c9f70a09-5a77-42b6-88fb-e82d798f0c9e_en" TargetMode="External"/><Relationship Id="rId27" Type="http://schemas.openxmlformats.org/officeDocument/2006/relationships/hyperlink" Target="https://ec.europa.eu/neighbourhood-enlargement/montenegro-report-2021_en" TargetMode="External"/><Relationship Id="rId30" Type="http://schemas.openxmlformats.org/officeDocument/2006/relationships/hyperlink" Target="https://ec.europa.eu/neighbourhood-enlargement/north-macedonia-report-2021_en" TargetMode="External"/><Relationship Id="rId35" Type="http://schemas.openxmlformats.org/officeDocument/2006/relationships/hyperlink" Target="https://ec.europa.eu/commission/presscorner/detail/en/qanda_21_5282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eur-lex.europa.eu/legal-content/EN/TXT/PDF/?uri=CELEX:52021JC0008&amp;from=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.europa.eu/neighbourhood-enlargement/document/download/a8e26bbb-ada8-4b61-ba63-ccfce93103e8_en" TargetMode="External"/><Relationship Id="rId17" Type="http://schemas.openxmlformats.org/officeDocument/2006/relationships/hyperlink" Target="https://ec.europa.eu/commission/presscorner/detail/en/qanda_21_5276" TargetMode="External"/><Relationship Id="rId25" Type="http://schemas.openxmlformats.org/officeDocument/2006/relationships/hyperlink" Target="https://ec.europa.eu/neighbourhood-enlargement/document/download/466234d5-0f60-4148-a04a-31736df75b34_en" TargetMode="External"/><Relationship Id="rId33" Type="http://schemas.openxmlformats.org/officeDocument/2006/relationships/hyperlink" Target="https://ec.europa.eu/neighbourhood-enlargement/serbia-report-2021_en" TargetMode="External"/><Relationship Id="rId38" Type="http://schemas.openxmlformats.org/officeDocument/2006/relationships/hyperlink" Target="https://ec.europa.eu/neighbourhood-enlargement/sites/near/files/enlargement-methodology_en.pdf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ec.europa.eu/commission/presscorner/detail/en/qanda_21_5277" TargetMode="External"/><Relationship Id="rId41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74F3D8-1456-467B-B199-FF0BEDFE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2021-10-20T06:52:00Z</dcterms:created>
  <dcterms:modified xsi:type="dcterms:W3CDTF">2021-10-20T06:52:00Z</dcterms:modified>
</cp:coreProperties>
</file>